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color w:val="000000"/>
          <w:sz w:val="16"/>
          <w:szCs w:val="16"/>
        </w:rPr>
        <w:t xml:space="preserve">DocuSign Envelope ID: A423CE5C-B25C-4EE4-9EE9-A8F5A4352CA0</w:t>
      </w:r>
    </w:p>
    <w:p>
      <w:pPr>
        <w:jc w:val="right"/>
      </w:pPr>
      <w:r>
        <w:rPr>
          <w:rFonts w:ascii="Arial" w:cs="Arial" w:eastAsia="Arial" w:hAnsi="Arial"/>
          <w:b/>
          <w:bCs/>
          <w:color w:val="000000"/>
          <w:sz w:val="24"/>
          <w:szCs w:val="24"/>
        </w:rPr>
        <w:t xml:space="preserve">COUNTERPART</w:t>
      </w:r>
    </w:p>
    <w:p>
      <w:pPr>
        <w:jc w:val="right"/>
      </w:pPr>
      <w:r>
        <w:rPr>
          <w:rFonts w:ascii="Arial" w:cs="Arial" w:eastAsia="Arial" w:hAnsi="Arial"/>
          <w:b/>
          <w:bCs/>
          <w:color w:val="000000"/>
          <w:sz w:val="24"/>
          <w:szCs w:val="24"/>
        </w:rPr>
        <w:t xml:space="preserve">INTERNATIONAL</w:t>
      </w:r>
    </w:p>
    <w:p>
      <w:pPr>
        <w:jc w:val="right"/>
      </w:pPr>
      <w:r>
        <w:rPr>
          <w:rFonts w:ascii="Arial" w:cs="Arial" w:eastAsia="Arial" w:hAnsi="Arial"/>
          <w:color w:val="777777"/>
          <w:sz w:val="16"/>
          <w:szCs w:val="16"/>
        </w:rPr>
        <w:t xml:space="preserve">In partnership for</w:t>
      </w:r>
    </w:p>
    <w:p>
      <w:pPr>
        <w:spacing w:after="400"/>
        <w:jc w:val="right"/>
      </w:pPr>
      <w:r>
        <w:rPr>
          <w:rFonts w:ascii="Arial" w:cs="Arial" w:eastAsia="Arial" w:hAnsi="Arial"/>
          <w:color w:val="777777"/>
          <w:sz w:val="16"/>
          <w:szCs w:val="16"/>
        </w:rPr>
        <w:t xml:space="preserve">results that last.</w:t>
      </w:r>
    </w:p>
    <w:p>
      <w:pPr>
        <w:spacing w:before="200" w:after="400"/>
        <w:jc w:val="center"/>
      </w:pPr>
      <w:r>
        <w:rPr>
          <w:rFonts w:ascii="Arial" w:cs="Arial" w:eastAsia="Arial" w:hAnsi="Arial"/>
          <w:color w:val="000000"/>
          <w:sz w:val="28"/>
          <w:szCs w:val="28"/>
        </w:rPr>
        <w:t xml:space="preserve">DELEGATION OF AUTHORITY</w:t>
      </w:r>
    </w:p>
    <w:p>
      <w:r>
        <w:rPr>
          <w:rFonts w:ascii="Arial" w:cs="Arial" w:eastAsia="Arial" w:hAnsi="Arial"/>
          <w:color w:val="000000"/>
          <w:sz w:val="22"/>
          <w:szCs w:val="22"/>
        </w:rPr>
        <w:t xml:space="preserve">Gwendolyn Appel</w:t>
      </w:r>
    </w:p>
    <w:p>
      <w:pPr>
        <w:spacing w:after="300"/>
      </w:pPr>
      <w:r>
        <w:rPr>
          <w:rFonts w:ascii="Arial" w:cs="Arial" w:eastAsia="Arial" w:hAnsi="Arial"/>
          <w:color w:val="000000"/>
          <w:sz w:val="22"/>
          <w:szCs w:val="22"/>
        </w:rPr>
        <w:t xml:space="preserve">Chief Operating Officer</w:t>
      </w:r>
    </w:p>
    <w:p>
      <w:pPr>
        <w:spacing w:after="300"/>
        <w:jc w:val="both"/>
      </w:pPr>
      <w:r>
        <w:rPr>
          <w:rFonts w:ascii="Arial" w:cs="Arial" w:eastAsia="Arial" w:hAnsi="Arial"/>
          <w:color w:val="000000"/>
          <w:sz w:val="22"/>
          <w:szCs w:val="22"/>
        </w:rPr>
        <w:t xml:space="preserve">On behalf of Counterpart International (Counterpart), I, Ann Hudock, DPhil, President and Chief Executive Officer, delegate Gwendolyn Appel the authority to financially and legally commit Counterpart and incur liabilities on its behalf for the following categories of commitment with the assigned threshold and on the condition that the review and clearance process outlined on the DOA process spreadsheet was followed: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c>
          <w:tcPr>
            <w:tcW w:type="dxa" w:w="5616"/>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Proposals and Concept Notes with budget amounts</w:t>
            </w:r>
          </w:p>
        </w:tc>
        <w:tc>
          <w:tcPr>
            <w:tcW w:type="dxa" w:w="3744"/>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
            </w:r>
          </w:p>
        </w:tc>
      </w:tr>
      <w:tr>
        <w:tc>
          <w:tcPr>
            <w:tcW w:type="dxa" w:w="5616"/>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Concept Notes/Expressions of Interest/Letters of Interest with no budget amounts</w:t>
            </w:r>
          </w:p>
        </w:tc>
        <w:tc>
          <w:tcPr>
            <w:tcW w:type="dxa" w:w="3744"/>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
            </w:r>
          </w:p>
        </w:tc>
      </w:tr>
      <w:tr>
        <w:tc>
          <w:tcPr>
            <w:tcW w:type="dxa" w:w="5616"/>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Teaming Agreements and Pre-Teaming Agreements</w:t>
            </w:r>
          </w:p>
        </w:tc>
        <w:tc>
          <w:tcPr>
            <w:tcW w:type="dxa" w:w="3744"/>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
            </w:r>
          </w:p>
        </w:tc>
      </w:tr>
      <w:tr>
        <w:tc>
          <w:tcPr>
            <w:tcW w:type="dxa" w:w="5616"/>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All Procurement of Goods and Services</w:t>
            </w:r>
          </w:p>
        </w:tc>
        <w:tc>
          <w:tcPr>
            <w:tcW w:type="dxa" w:w="3744"/>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Unlimited threshold</w:t>
            </w:r>
          </w:p>
        </w:tc>
      </w:tr>
      <w:tr>
        <w:tc>
          <w:tcPr>
            <w:tcW w:type="dxa" w:w="5616"/>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All Grant Agreements (local and INGO)</w:t>
            </w:r>
          </w:p>
        </w:tc>
        <w:tc>
          <w:tcPr>
            <w:tcW w:type="dxa" w:w="3744"/>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Unlimited threshold</w:t>
            </w:r>
          </w:p>
        </w:tc>
      </w:tr>
      <w:tr>
        <w:tc>
          <w:tcPr>
            <w:tcW w:type="dxa" w:w="5616"/>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All Commitments, including awards/contracts and modifications</w:t>
            </w:r>
          </w:p>
        </w:tc>
        <w:tc>
          <w:tcPr>
            <w:tcW w:type="dxa" w:w="3744"/>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Unlimited threshold</w:t>
            </w:r>
          </w:p>
        </w:tc>
      </w:tr>
      <w:tr>
        <w:tc>
          <w:tcPr>
            <w:tcW w:type="dxa" w:w="5616"/>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Non-Monetary Value Agreements, including MOUs</w:t>
            </w:r>
          </w:p>
        </w:tc>
        <w:tc>
          <w:tcPr>
            <w:tcW w:type="dxa" w:w="3744"/>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Unlimited threshold</w:t>
            </w:r>
          </w:p>
        </w:tc>
      </w:tr>
      <w:tr>
        <w:tc>
          <w:tcPr>
            <w:tcW w:type="dxa" w:w="5616"/>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Representations &amp; Certifications, SF424s and other corporate statements or commitments</w:t>
            </w:r>
          </w:p>
        </w:tc>
        <w:tc>
          <w:tcPr>
            <w:tcW w:type="dxa" w:w="3744"/>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Unlimited threshold</w:t>
            </w:r>
          </w:p>
        </w:tc>
      </w:tr>
      <w:tr>
        <w:tc>
          <w:tcPr>
            <w:tcW w:type="dxa" w:w="5616"/>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Expense Authorizations</w:t>
            </w:r>
          </w:p>
        </w:tc>
        <w:tc>
          <w:tcPr>
            <w:tcW w:type="dxa" w:w="3744"/>
            <w:tcBorders>
              <w:top w:val="single" w:color="000000" w:sz="1"/>
              <w:left w:val="single" w:color="000000" w:sz="1"/>
              <w:bottom w:val="single" w:color="000000" w:sz="1"/>
              <w:right w:val="single" w:color="000000" w:sz="1"/>
            </w:tcBorders>
            <w:shd w:fill="FFFFFF" w:val="clear"/>
          </w:tcPr>
          <w:p>
            <w:r>
              <w:rPr>
                <w:rFonts w:ascii="Arial" w:cs="Arial" w:eastAsia="Arial" w:hAnsi="Arial"/>
                <w:color w:val="000000"/>
                <w:sz w:val="22"/>
                <w:szCs w:val="22"/>
              </w:rPr>
              <w:t xml:space="preserve">Unlimited threshold</w:t>
            </w:r>
          </w:p>
        </w:tc>
      </w:tr>
    </w:tbl>
    <w:p>
      <w:pPr>
        <w:spacing w:before="300" w:after="300"/>
        <w:jc w:val="both"/>
      </w:pPr>
      <w:r>
        <w:rPr>
          <w:rFonts w:ascii="Arial" w:cs="Arial" w:eastAsia="Arial" w:hAnsi="Arial"/>
          <w:color w:val="000000"/>
          <w:sz w:val="22"/>
          <w:szCs w:val="22"/>
        </w:rPr>
        <w:t xml:space="preserve">The scope of this Delegation of Authority is limited Gwendolyn Appel’s, Chief Operating Officer’s responsibilities, Counterpart’s billable and organizational overhead budgets.</w:t>
      </w:r>
    </w:p>
    <w:p>
      <w:pPr>
        <w:spacing w:after="400"/>
        <w:jc w:val="both"/>
      </w:pPr>
      <w:r>
        <w:rPr>
          <w:rFonts w:ascii="Arial" w:cs="Arial" w:eastAsia="Arial" w:hAnsi="Arial"/>
          <w:color w:val="000000"/>
          <w:sz w:val="22"/>
          <w:szCs w:val="22"/>
        </w:rPr>
        <w:t xml:space="preserve">The effective date of this delegation is March 24, 2025, and shall run until the end of Gwendolyn Appel’s employment. This DOA supersedes any DOA previously issued by Counterpart.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shd w:fill="FFFFFF" w:val="clear"/>
          </w:tcPr>
          <w:p>
            <w:r>
              <w:t xml:space="preserve"/>
            </w:r>
          </w:p>
        </w:tc>
        <w:tc>
          <w:tcPr>
            <w:tcW w:type="dxa" w:w="4680"/>
            <w:tcBorders>
              <w:top w:val="none"/>
              <w:left w:val="none"/>
              <w:bottom w:val="none"/>
              <w:right w:val="none"/>
            </w:tcBorders>
            <w:shd w:fill="FFFFFF" w:val="clear"/>
          </w:tcPr>
          <w:p>
            <w:pPr>
              <w:spacing w:after="200"/>
            </w:pPr>
            <w:r>
              <w:rPr>
                <w:rFonts w:ascii="Arial" w:cs="Arial" w:eastAsia="Arial" w:hAnsi="Arial"/>
                <w:color w:val="000000"/>
                <w:sz w:val="22"/>
                <w:szCs w:val="22"/>
              </w:rPr>
              <w:t xml:space="preserve">Acknowledged and agreed:</w:t>
            </w:r>
          </w:p>
        </w:tc>
      </w:tr>
      <w:tr>
        <w:tc>
          <w:tcPr>
            <w:tcW w:type="dxa" w:w="4680"/>
            <w:tcBorders>
              <w:top w:val="none"/>
              <w:left w:val="none"/>
              <w:bottom w:val="none"/>
              <w:right w:val="none"/>
            </w:tcBorders>
            <w:shd w:fill="FFFFFF" w:val="clear"/>
          </w:tcPr>
          <w:p>
            <w:r>
              <w:rPr>
                <w:rFonts w:ascii="Arial" w:cs="Arial" w:eastAsia="Arial" w:hAnsi="Arial"/>
                <w:b/>
                <w:bCs/>
                <w:color w:val="000000"/>
                <w:sz w:val="16"/>
                <w:szCs w:val="16"/>
              </w:rPr>
              <w:t xml:space="preserve">Signed by:</w:t>
            </w:r>
          </w:p>
          <w:p>
            <w:pPr>
              <w:spacing w:before="100" w:after="100"/>
            </w:pPr>
            <w:r>
              <w:rPr>
                <w:rFonts w:ascii="Arial" w:cs="Arial" w:eastAsia="Arial" w:hAnsi="Arial"/>
                <w:i/>
                <w:iCs/>
                <w:color w:val="000000"/>
                <w:sz w:val="24"/>
                <w:szCs w:val="24"/>
              </w:rPr>
              <w:t xml:space="preserve">[Signature]</w:t>
            </w:r>
          </w:p>
          <w:p>
            <w:r>
              <w:rPr>
                <w:rFonts w:ascii="Arial" w:cs="Arial" w:eastAsia="Arial" w:hAnsi="Arial"/>
                <w:color w:val="000000"/>
                <w:sz w:val="22"/>
                <w:szCs w:val="22"/>
              </w:rPr>
              <w:t xml:space="preserve">Ann Hudock, DPhil, President and Chief</w:t>
            </w:r>
          </w:p>
          <w:p>
            <w:pPr>
              <w:spacing w:after="200"/>
            </w:pPr>
            <w:r>
              <w:rPr>
                <w:rFonts w:ascii="Arial" w:cs="Arial" w:eastAsia="Arial" w:hAnsi="Arial"/>
                <w:color w:val="000000"/>
                <w:sz w:val="22"/>
                <w:szCs w:val="22"/>
              </w:rPr>
              <w:t xml:space="preserve">Executive Officer</w:t>
            </w:r>
          </w:p>
          <w:p>
            <w:pPr>
              <w:pBdr>
                <w:bottom w:val="single" w:color="000000" w:sz="1"/>
              </w:pBdr>
              <w:spacing w:after="100"/>
            </w:pPr>
            <w:r>
              <w:rPr>
                <w:rFonts w:ascii="Arial" w:cs="Arial" w:eastAsia="Arial" w:hAnsi="Arial"/>
                <w:color w:val="000000"/>
                <w:sz w:val="22"/>
                <w:szCs w:val="22"/>
              </w:rPr>
              <w:t xml:space="preserve">Date: 3/22/2025 | 11:50 EDT</w:t>
            </w:r>
          </w:p>
        </w:tc>
        <w:tc>
          <w:tcPr>
            <w:tcW w:type="dxa" w:w="4680"/>
            <w:tcBorders>
              <w:top w:val="none"/>
              <w:left w:val="none"/>
              <w:bottom w:val="none"/>
              <w:right w:val="none"/>
            </w:tcBorders>
            <w:shd w:fill="FFFFFF" w:val="clear"/>
          </w:tcPr>
          <w:p>
            <w:r>
              <w:rPr>
                <w:rFonts w:ascii="Arial" w:cs="Arial" w:eastAsia="Arial" w:hAnsi="Arial"/>
                <w:b/>
                <w:bCs/>
                <w:color w:val="000000"/>
                <w:sz w:val="16"/>
                <w:szCs w:val="16"/>
              </w:rPr>
              <w:t xml:space="preserve">Signed by:</w:t>
            </w:r>
          </w:p>
          <w:p>
            <w:pPr>
              <w:spacing w:before="100" w:after="100"/>
            </w:pPr>
            <w:r>
              <w:rPr>
                <w:rFonts w:ascii="Arial" w:cs="Arial" w:eastAsia="Arial" w:hAnsi="Arial"/>
                <w:i/>
                <w:iCs/>
                <w:color w:val="000000"/>
                <w:sz w:val="24"/>
                <w:szCs w:val="24"/>
              </w:rPr>
              <w:t xml:space="preserve">[Signature]</w:t>
            </w:r>
          </w:p>
          <w:p>
            <w:r>
              <w:rPr>
                <w:rFonts w:ascii="Arial" w:cs="Arial" w:eastAsia="Arial" w:hAnsi="Arial"/>
                <w:color w:val="000000"/>
                <w:sz w:val="22"/>
                <w:szCs w:val="22"/>
              </w:rPr>
              <w:t xml:space="preserve">Gwendolyn Appel</w:t>
            </w:r>
          </w:p>
          <w:p>
            <w:pPr>
              <w:spacing w:after="200"/>
            </w:pPr>
            <w:r>
              <w:rPr>
                <w:rFonts w:ascii="Arial" w:cs="Arial" w:eastAsia="Arial" w:hAnsi="Arial"/>
                <w:color w:val="000000"/>
                <w:sz w:val="22"/>
                <w:szCs w:val="22"/>
              </w:rPr>
              <w:t xml:space="preserve">Chief Operating Officer</w:t>
            </w:r>
          </w:p>
          <w:p>
            <w:pPr>
              <w:pBdr>
                <w:bottom w:val="single" w:color="000000" w:sz="1"/>
              </w:pBdr>
              <w:spacing w:after="100"/>
            </w:pPr>
            <w:r>
              <w:rPr>
                <w:rFonts w:ascii="Arial" w:cs="Arial" w:eastAsia="Arial" w:hAnsi="Arial"/>
                <w:color w:val="000000"/>
                <w:sz w:val="22"/>
                <w:szCs w:val="22"/>
              </w:rPr>
              <w:t xml:space="preserve">Date: 3/22/2025 | 12:05 EDT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growAutofit/>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1766877257433-delegation of authority (1)</dc:title>
  <dc:creator>Gemini PDF Converter</dc:creator>
  <dc:description>Converted from PDF</dc:description>
  <cp:lastModifiedBy>Un-named</cp:lastModifiedBy>
  <cp:revision>1</cp:revision>
  <dcterms:created xsi:type="dcterms:W3CDTF">2025-12-27T23:15:53.111Z</dcterms:created>
  <dcterms:modified xsi:type="dcterms:W3CDTF">2025-12-27T23:15:53.111Z</dcterms:modified>
</cp:coreProperties>
</file>

<file path=docProps/custom.xml><?xml version="1.0" encoding="utf-8"?>
<Properties xmlns="http://schemas.openxmlformats.org/officeDocument/2006/custom-properties" xmlns:vt="http://schemas.openxmlformats.org/officeDocument/2006/docPropsVTypes"/>
</file>