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A423CE5C-B25C-4EE4-9EE9-A8F5A4352CA0</w:t>
      </w:r>
    </w:p>
    <w:p>
      <w:pPr>
        <w:jc w:val="right"/>
      </w:pPr>
      <w:r>
        <w:rPr>
          <w:rFonts w:ascii="Arial" w:cs="Arial" w:eastAsia="Arial" w:hAnsi="Arial"/>
          <w:b/>
          <w:bCs/>
          <w:color w:val="000000"/>
          <w:sz w:val="36"/>
          <w:szCs w:val="36"/>
        </w:rPr>
        <w:t xml:space="preserve">COUNTERPART</w:t>
      </w:r>
    </w:p>
    <w:p>
      <w:pPr>
        <w:jc w:val="right"/>
      </w:pPr>
      <w:r>
        <w:rPr>
          <w:rFonts w:ascii="Arial" w:cs="Arial" w:eastAsia="Arial" w:hAnsi="Arial"/>
          <w:color w:val="000000"/>
          <w:sz w:val="28"/>
          <w:szCs w:val="28"/>
        </w:rPr>
        <w:t xml:space="preserve">INTERNATIONAL</w:t>
      </w:r>
    </w:p>
    <w:p>
      <w:pPr>
        <w:jc w:val="right"/>
      </w:pPr>
      <w:r>
        <w:rPr>
          <w:rFonts w:ascii="Arial" w:cs="Arial" w:eastAsia="Arial" w:hAnsi="Arial"/>
          <w:color w:val="000000"/>
          <w:sz w:val="16"/>
          <w:szCs w:val="16"/>
        </w:rPr>
        <w:t xml:space="preserve">In partnership for</w:t>
      </w:r>
    </w:p>
    <w:p>
      <w:pPr>
        <w:spacing w:after="400"/>
        <w:jc w:val="right"/>
      </w:pPr>
      <w:r>
        <w:rPr>
          <w:rFonts w:ascii="Arial" w:cs="Arial" w:eastAsia="Arial" w:hAnsi="Arial"/>
          <w:color w:val="000000"/>
          <w:sz w:val="16"/>
          <w:szCs w:val="16"/>
        </w:rPr>
        <w:t xml:space="preserve">results that last.</w:t>
      </w:r>
    </w:p>
    <w:p>
      <w:pPr>
        <w:spacing w:after="400"/>
        <w:jc w:val="center"/>
      </w:pPr>
      <w:r>
        <w:rPr>
          <w:rFonts w:ascii="Arial" w:cs="Arial" w:eastAsia="Arial" w:hAnsi="Arial"/>
          <w:color w:val="000000"/>
          <w:sz w:val="28"/>
          <w:szCs w:val="28"/>
        </w:rPr>
        <w:t xml:space="preserve">DELEGATION OF AUTHORITY</w:t>
      </w:r>
    </w:p>
    <w:p>
      <w:r>
        <w:rPr>
          <w:rFonts w:ascii="Arial" w:cs="Arial" w:eastAsia="Arial" w:hAnsi="Arial"/>
          <w:color w:val="000000"/>
          <w:sz w:val="22"/>
          <w:szCs w:val="22"/>
        </w:rPr>
        <w:t xml:space="preserve">Gwendolyn Appel</w:t>
      </w:r>
    </w:p>
    <w:p>
      <w:pPr>
        <w:spacing w:after="240"/>
      </w:pPr>
      <w:r>
        <w:rPr>
          <w:rFonts w:ascii="Arial" w:cs="Arial" w:eastAsia="Arial" w:hAnsi="Arial"/>
          <w:color w:val="000000"/>
          <w:sz w:val="22"/>
          <w:szCs w:val="22"/>
        </w:rPr>
        <w:t xml:space="preserve">Chief Operating Officer</w:t>
      </w:r>
    </w:p>
    <w:p>
      <w:pPr>
        <w:spacing w:after="240"/>
      </w:pPr>
      <w:r>
        <w:rPr>
          <w:rFonts w:ascii="Arial" w:cs="Arial" w:eastAsia="Arial" w:hAnsi="Arial"/>
          <w:color w:val="000000"/>
          <w:sz w:val="22"/>
          <w:szCs w:val="22"/>
        </w:rPr>
        <w:t xml:space="preserve">On behalf of Counterpart International (Counterpart), I, Ann Hudock, DPhil, President and Chief Executive Officer, delegate Gwendolyn Appel the authority to financially and legally commit Counterpart and incur liabilities on its behalf for the following categories of commitment with the assigned threshold and on the condition that the review and clearance process outlined on the DOA process spreadsheet was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shd w:fill="FFFFFF" w:val="clear"/>
          </w:tcPr>
          <w:p>
            <w:r>
              <w:rPr>
                <w:rFonts w:ascii="Arial" w:cs="Arial" w:eastAsia="Arial" w:hAnsi="Arial"/>
                <w:color w:val="000000"/>
                <w:sz w:val="22"/>
                <w:szCs w:val="22"/>
              </w:rPr>
              <w:t xml:space="preserve">Proposals and Concept Notes with budget amounts</w:t>
            </w:r>
          </w:p>
        </w:tc>
        <w:tc>
          <w:tcPr>
            <w:tcW w:type="dxa" w:w="3360"/>
            <w:shd w:fill="FFFFFF" w:val="clear"/>
          </w:tcPr>
          <w:p>
            <w:r>
              <w:rPr>
                <w:rFonts w:ascii="Arial" w:cs="Arial" w:eastAsia="Arial" w:hAnsi="Arial"/>
                <w:color w:val="000000"/>
                <w:sz w:val="22"/>
                <w:szCs w:val="22"/>
              </w:rPr>
              <w:t xml:space="preserve"/>
            </w:r>
          </w:p>
        </w:tc>
      </w:tr>
      <w:tr>
        <w:tc>
          <w:tcPr>
            <w:tcW w:type="dxa" w:w="6000"/>
            <w:shd w:fill="FFFFFF" w:val="clear"/>
          </w:tcPr>
          <w:p>
            <w:r>
              <w:rPr>
                <w:rFonts w:ascii="Arial" w:cs="Arial" w:eastAsia="Arial" w:hAnsi="Arial"/>
                <w:color w:val="000000"/>
                <w:sz w:val="22"/>
                <w:szCs w:val="22"/>
              </w:rPr>
              <w:t xml:space="preserve">Concept Notes/Expressions of Interest/Letters of Interest with no budget amounts</w:t>
            </w:r>
          </w:p>
        </w:tc>
        <w:tc>
          <w:tcPr>
            <w:tcW w:type="dxa" w:w="3360"/>
            <w:shd w:fill="FFFFFF" w:val="clear"/>
          </w:tcPr>
          <w:p>
            <w:r>
              <w:rPr>
                <w:rFonts w:ascii="Arial" w:cs="Arial" w:eastAsia="Arial" w:hAnsi="Arial"/>
                <w:color w:val="000000"/>
                <w:sz w:val="22"/>
                <w:szCs w:val="22"/>
              </w:rPr>
              <w:t xml:space="preserve"/>
            </w:r>
          </w:p>
        </w:tc>
      </w:tr>
      <w:tr>
        <w:tc>
          <w:tcPr>
            <w:tcW w:type="dxa" w:w="6000"/>
            <w:shd w:fill="FFFFFF" w:val="clear"/>
          </w:tcPr>
          <w:p>
            <w:r>
              <w:rPr>
                <w:rFonts w:ascii="Arial" w:cs="Arial" w:eastAsia="Arial" w:hAnsi="Arial"/>
                <w:color w:val="000000"/>
                <w:sz w:val="22"/>
                <w:szCs w:val="22"/>
              </w:rPr>
              <w:t xml:space="preserve">Teaming Agreements and Pre-Teaming Agreements</w:t>
            </w:r>
          </w:p>
        </w:tc>
        <w:tc>
          <w:tcPr>
            <w:tcW w:type="dxa" w:w="3360"/>
            <w:shd w:fill="FFFFFF" w:val="clear"/>
          </w:tcPr>
          <w:p>
            <w:r>
              <w:rPr>
                <w:rFonts w:ascii="Arial" w:cs="Arial" w:eastAsia="Arial" w:hAnsi="Arial"/>
                <w:color w:val="000000"/>
                <w:sz w:val="22"/>
                <w:szCs w:val="22"/>
              </w:rPr>
              <w:t xml:space="preserve"/>
            </w:r>
          </w:p>
        </w:tc>
      </w:tr>
      <w:tr>
        <w:tc>
          <w:tcPr>
            <w:tcW w:type="dxa" w:w="6000"/>
            <w:shd w:fill="FFFFFF" w:val="clear"/>
          </w:tcPr>
          <w:p>
            <w:r>
              <w:rPr>
                <w:rFonts w:ascii="Arial" w:cs="Arial" w:eastAsia="Arial" w:hAnsi="Arial"/>
                <w:color w:val="000000"/>
                <w:sz w:val="22"/>
                <w:szCs w:val="22"/>
              </w:rPr>
              <w:t xml:space="preserve">All Procurement of Goods and Services</w:t>
            </w:r>
          </w:p>
        </w:tc>
        <w:tc>
          <w:tcPr>
            <w:tcW w:type="dxa" w:w="3360"/>
            <w:shd w:fill="FFFFFF" w:val="clear"/>
          </w:tcPr>
          <w:p>
            <w:r>
              <w:rPr>
                <w:rFonts w:ascii="Arial" w:cs="Arial" w:eastAsia="Arial" w:hAnsi="Arial"/>
                <w:color w:val="000000"/>
                <w:sz w:val="22"/>
                <w:szCs w:val="22"/>
              </w:rPr>
              <w:t xml:space="preserve">Unlimited threshold</w:t>
            </w:r>
          </w:p>
        </w:tc>
      </w:tr>
      <w:tr>
        <w:tc>
          <w:tcPr>
            <w:tcW w:type="dxa" w:w="6000"/>
            <w:shd w:fill="FFFFFF" w:val="clear"/>
          </w:tcPr>
          <w:p>
            <w:r>
              <w:rPr>
                <w:rFonts w:ascii="Arial" w:cs="Arial" w:eastAsia="Arial" w:hAnsi="Arial"/>
                <w:color w:val="000000"/>
                <w:sz w:val="22"/>
                <w:szCs w:val="22"/>
              </w:rPr>
              <w:t xml:space="preserve">All Grant Agreements (local and INGO)</w:t>
            </w:r>
          </w:p>
        </w:tc>
        <w:tc>
          <w:tcPr>
            <w:tcW w:type="dxa" w:w="3360"/>
            <w:shd w:fill="FFFFFF" w:val="clear"/>
          </w:tcPr>
          <w:p>
            <w:r>
              <w:rPr>
                <w:rFonts w:ascii="Arial" w:cs="Arial" w:eastAsia="Arial" w:hAnsi="Arial"/>
                <w:color w:val="000000"/>
                <w:sz w:val="22"/>
                <w:szCs w:val="22"/>
              </w:rPr>
              <w:t xml:space="preserve">Unlimited threshold</w:t>
            </w:r>
          </w:p>
        </w:tc>
      </w:tr>
      <w:tr>
        <w:tc>
          <w:tcPr>
            <w:tcW w:type="dxa" w:w="6000"/>
            <w:shd w:fill="FFFFFF" w:val="clear"/>
          </w:tcPr>
          <w:p>
            <w:r>
              <w:rPr>
                <w:rFonts w:ascii="Arial" w:cs="Arial" w:eastAsia="Arial" w:hAnsi="Arial"/>
                <w:color w:val="000000"/>
                <w:sz w:val="22"/>
                <w:szCs w:val="22"/>
              </w:rPr>
              <w:t xml:space="preserve">All Commitments, including awards/contracts and modifications</w:t>
            </w:r>
          </w:p>
        </w:tc>
        <w:tc>
          <w:tcPr>
            <w:tcW w:type="dxa" w:w="3360"/>
            <w:shd w:fill="FFFFFF" w:val="clear"/>
          </w:tcPr>
          <w:p>
            <w:r>
              <w:rPr>
                <w:rFonts w:ascii="Arial" w:cs="Arial" w:eastAsia="Arial" w:hAnsi="Arial"/>
                <w:color w:val="000000"/>
                <w:sz w:val="22"/>
                <w:szCs w:val="22"/>
              </w:rPr>
              <w:t xml:space="preserve">Unlimited threshold</w:t>
            </w:r>
          </w:p>
        </w:tc>
      </w:tr>
      <w:tr>
        <w:tc>
          <w:tcPr>
            <w:tcW w:type="dxa" w:w="6000"/>
            <w:shd w:fill="FFFFFF" w:val="clear"/>
          </w:tcPr>
          <w:p>
            <w:r>
              <w:rPr>
                <w:rFonts w:ascii="Arial" w:cs="Arial" w:eastAsia="Arial" w:hAnsi="Arial"/>
                <w:color w:val="000000"/>
                <w:sz w:val="22"/>
                <w:szCs w:val="22"/>
              </w:rPr>
              <w:t xml:space="preserve">Non-Monetary Value Agreements, including MOUs</w:t>
            </w:r>
          </w:p>
        </w:tc>
        <w:tc>
          <w:tcPr>
            <w:tcW w:type="dxa" w:w="3360"/>
            <w:shd w:fill="FFFFFF" w:val="clear"/>
          </w:tcPr>
          <w:p>
            <w:r>
              <w:rPr>
                <w:rFonts w:ascii="Arial" w:cs="Arial" w:eastAsia="Arial" w:hAnsi="Arial"/>
                <w:color w:val="000000"/>
                <w:sz w:val="22"/>
                <w:szCs w:val="22"/>
              </w:rPr>
              <w:t xml:space="preserve">Unlimited threshold</w:t>
            </w:r>
          </w:p>
        </w:tc>
      </w:tr>
      <w:tr>
        <w:tc>
          <w:tcPr>
            <w:tcW w:type="dxa" w:w="6000"/>
            <w:shd w:fill="FFFFFF" w:val="clear"/>
          </w:tcPr>
          <w:p>
            <w:r>
              <w:rPr>
                <w:rFonts w:ascii="Arial" w:cs="Arial" w:eastAsia="Arial" w:hAnsi="Arial"/>
                <w:color w:val="000000"/>
                <w:sz w:val="22"/>
                <w:szCs w:val="22"/>
              </w:rPr>
              <w:t xml:space="preserve">Representations &amp; Certifications, SF424s and other corporate statements or commitments</w:t>
            </w:r>
          </w:p>
        </w:tc>
        <w:tc>
          <w:tcPr>
            <w:tcW w:type="dxa" w:w="3360"/>
            <w:shd w:fill="FFFFFF" w:val="clear"/>
          </w:tcPr>
          <w:p>
            <w:r>
              <w:rPr>
                <w:rFonts w:ascii="Arial" w:cs="Arial" w:eastAsia="Arial" w:hAnsi="Arial"/>
                <w:color w:val="000000"/>
                <w:sz w:val="22"/>
                <w:szCs w:val="22"/>
              </w:rPr>
              <w:t xml:space="preserve">Unlimited threshold</w:t>
            </w:r>
          </w:p>
        </w:tc>
      </w:tr>
      <w:tr>
        <w:tc>
          <w:tcPr>
            <w:tcW w:type="dxa" w:w="6000"/>
            <w:shd w:fill="FFFFFF" w:val="clear"/>
          </w:tcPr>
          <w:p>
            <w:r>
              <w:rPr>
                <w:rFonts w:ascii="Arial" w:cs="Arial" w:eastAsia="Arial" w:hAnsi="Arial"/>
                <w:color w:val="000000"/>
                <w:sz w:val="22"/>
                <w:szCs w:val="22"/>
              </w:rPr>
              <w:t xml:space="preserve">Expense Authorizations</w:t>
            </w:r>
          </w:p>
        </w:tc>
        <w:tc>
          <w:tcPr>
            <w:tcW w:type="dxa" w:w="3360"/>
            <w:shd w:fill="FFFFFF" w:val="clear"/>
          </w:tcPr>
          <w:p>
            <w:r>
              <w:rPr>
                <w:rFonts w:ascii="Arial" w:cs="Arial" w:eastAsia="Arial" w:hAnsi="Arial"/>
                <w:color w:val="000000"/>
                <w:sz w:val="22"/>
                <w:szCs w:val="22"/>
              </w:rPr>
              <w:t xml:space="preserve">Unlimited threshold</w:t>
            </w:r>
          </w:p>
        </w:tc>
      </w:tr>
    </w:tbl>
    <w:p>
      <w:pPr>
        <w:spacing w:before="240" w:after="240"/>
      </w:pPr>
      <w:r>
        <w:rPr>
          <w:rFonts w:ascii="Arial" w:cs="Arial" w:eastAsia="Arial" w:hAnsi="Arial"/>
          <w:color w:val="000000"/>
          <w:sz w:val="22"/>
          <w:szCs w:val="22"/>
        </w:rPr>
        <w:t xml:space="preserve">The scope of this Delegation of Authority is limited Gwendolyn Appel’s, Chief Operating Officer’s responsibilities, Counterpart’s billable and organizational overhead budgets.</w:t>
      </w:r>
    </w:p>
    <w:p>
      <w:pPr>
        <w:spacing w:after="400"/>
      </w:pPr>
      <w:r>
        <w:rPr>
          <w:rFonts w:ascii="Arial" w:cs="Arial" w:eastAsia="Arial" w:hAnsi="Arial"/>
          <w:color w:val="000000"/>
          <w:sz w:val="22"/>
          <w:szCs w:val="22"/>
        </w:rPr>
        <w:t xml:space="preserve">The effective date of this delegation is March 24, 2025, and shall run until the end of Gwendolyn Appel’s employment. This DOA supersedes any DOA previously issued by Counterpart.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FFFFF" w:val="clear"/>
          </w:tcPr>
          <w:p>
            <w:r>
              <w:rPr>
                <w:rFonts w:ascii="Arial" w:cs="Arial" w:eastAsia="Arial" w:hAnsi="Arial"/>
                <w:color w:val="000000"/>
                <w:sz w:val="16"/>
                <w:szCs w:val="16"/>
              </w:rPr>
              <w:t xml:space="preserve">Signed by:</w:t>
            </w:r>
          </w:p>
          <w:p>
            <w:pPr>
              <w:spacing w:before="100" w:after="100"/>
            </w:pPr>
            <w:r>
              <w:rPr>
                <w:rFonts w:ascii="Arial" w:cs="Arial" w:eastAsia="Arial" w:hAnsi="Arial"/>
                <w:color w:val="000000"/>
                <w:sz w:val="24"/>
                <w:szCs w:val="24"/>
              </w:rPr>
              <w:t xml:space="preserve">[Signature]</w:t>
            </w:r>
          </w:p>
          <w:p>
            <w:pPr>
              <w:pBdr>
                <w:top w:val="single" w:color="000000" w:sz="6" w:space="1"/>
              </w:pBdr>
              <w:spacing w:before="60"/>
            </w:pPr>
            <w:r>
              <w:rPr>
                <w:rFonts w:ascii="Arial" w:cs="Arial" w:eastAsia="Arial" w:hAnsi="Arial"/>
                <w:color w:val="000000"/>
                <w:sz w:val="22"/>
                <w:szCs w:val="22"/>
              </w:rPr>
              <w:t xml:space="preserve">Ann Hudock, DPhil, President and Chief</w:t>
            </w:r>
          </w:p>
          <w:p>
            <w:r>
              <w:rPr>
                <w:rFonts w:ascii="Arial" w:cs="Arial" w:eastAsia="Arial" w:hAnsi="Arial"/>
                <w:color w:val="000000"/>
                <w:sz w:val="22"/>
                <w:szCs w:val="22"/>
              </w:rPr>
              <w:t xml:space="preserve">Executive Officer</w:t>
            </w:r>
          </w:p>
          <w:p>
            <w:pPr>
              <w:pBdr>
                <w:bottom w:val="single" w:color="000000" w:sz="6" w:space="1"/>
              </w:pBdr>
              <w:spacing w:before="240"/>
            </w:pPr>
            <w:r>
              <w:rPr>
                <w:rFonts w:ascii="Arial" w:cs="Arial" w:eastAsia="Arial" w:hAnsi="Arial"/>
                <w:color w:val="000000"/>
                <w:sz w:val="22"/>
                <w:szCs w:val="22"/>
              </w:rPr>
              <w:t xml:space="preserve">Date: </w:t>
            </w:r>
            <w:r>
              <w:rPr>
                <w:rFonts w:ascii="Courier New" w:cs="Courier New" w:eastAsia="Courier New" w:hAnsi="Courier New"/>
                <w:color w:val="000000"/>
                <w:sz w:val="20"/>
                <w:szCs w:val="20"/>
              </w:rPr>
              <w:t xml:space="preserve">3/22/2025 | 11:50 EDT</w:t>
            </w:r>
          </w:p>
        </w:tc>
        <w:tc>
          <w:tcPr>
            <w:tcW w:type="dxa" w:w="4680"/>
            <w:shd w:fill="FFFFFF" w:val="clear"/>
          </w:tcPr>
          <w:p>
            <w:pPr>
              <w:spacing w:after="120"/>
            </w:pPr>
            <w:r>
              <w:rPr>
                <w:rFonts w:ascii="Arial" w:cs="Arial" w:eastAsia="Arial" w:hAnsi="Arial"/>
                <w:color w:val="000000"/>
                <w:sz w:val="22"/>
                <w:szCs w:val="22"/>
              </w:rPr>
              <w:t xml:space="preserve">Acknowledged and agreed:</w:t>
            </w:r>
          </w:p>
          <w:p>
            <w:r>
              <w:rPr>
                <w:rFonts w:ascii="Arial" w:cs="Arial" w:eastAsia="Arial" w:hAnsi="Arial"/>
                <w:color w:val="000000"/>
                <w:sz w:val="16"/>
                <w:szCs w:val="16"/>
              </w:rPr>
              <w:t xml:space="preserve">Signed by:</w:t>
            </w:r>
          </w:p>
          <w:p>
            <w:pPr>
              <w:spacing w:before="100" w:after="100"/>
            </w:pPr>
            <w:r>
              <w:rPr>
                <w:rFonts w:ascii="Arial" w:cs="Arial" w:eastAsia="Arial" w:hAnsi="Arial"/>
                <w:color w:val="000000"/>
                <w:sz w:val="24"/>
                <w:szCs w:val="24"/>
              </w:rPr>
              <w:t xml:space="preserve">[Signature]</w:t>
            </w:r>
          </w:p>
          <w:p>
            <w:pPr>
              <w:pBdr>
                <w:top w:val="single" w:color="000000" w:sz="6" w:space="1"/>
              </w:pBdr>
              <w:spacing w:before="60"/>
            </w:pPr>
            <w:r>
              <w:rPr>
                <w:rFonts w:ascii="Arial" w:cs="Arial" w:eastAsia="Arial" w:hAnsi="Arial"/>
                <w:color w:val="000000"/>
                <w:sz w:val="22"/>
                <w:szCs w:val="22"/>
              </w:rPr>
              <w:t xml:space="preserve">Gwendolyn Appel</w:t>
            </w:r>
          </w:p>
          <w:p>
            <w:r>
              <w:rPr>
                <w:rFonts w:ascii="Arial" w:cs="Arial" w:eastAsia="Arial" w:hAnsi="Arial"/>
                <w:color w:val="000000"/>
                <w:sz w:val="22"/>
                <w:szCs w:val="22"/>
              </w:rPr>
              <w:t xml:space="preserve">Chief Operating Officer</w:t>
            </w:r>
          </w:p>
          <w:p>
            <w:pPr>
              <w:pBdr>
                <w:bottom w:val="single" w:color="000000" w:sz="6" w:space="1"/>
              </w:pBdr>
              <w:spacing w:before="240"/>
            </w:pPr>
            <w:r>
              <w:rPr>
                <w:rFonts w:ascii="Arial" w:cs="Arial" w:eastAsia="Arial" w:hAnsi="Arial"/>
                <w:color w:val="000000"/>
                <w:sz w:val="22"/>
                <w:szCs w:val="22"/>
              </w:rPr>
              <w:t xml:space="preserve">Date: </w:t>
            </w:r>
            <w:r>
              <w:rPr>
                <w:rFonts w:ascii="Courier New" w:cs="Courier New" w:eastAsia="Courier New" w:hAnsi="Courier New"/>
                <w:color w:val="000000"/>
                <w:sz w:val="20"/>
                <w:szCs w:val="20"/>
              </w:rPr>
              <w:t xml:space="preserve">3/22/2025 | 12:05 EDT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1766877366325-delegation of authority (1)</dc:title>
  <dc:creator>Gemini PDF Converter</dc:creator>
  <dc:description>Converted from PDF</dc:description>
  <cp:lastModifiedBy>Un-named</cp:lastModifiedBy>
  <cp:revision>1</cp:revision>
  <dcterms:created xsi:type="dcterms:W3CDTF">2025-12-27T23:17:11.009Z</dcterms:created>
  <dcterms:modified xsi:type="dcterms:W3CDTF">2025-12-27T23:17:11.010Z</dcterms:modified>
</cp:coreProperties>
</file>

<file path=docProps/custom.xml><?xml version="1.0" encoding="utf-8"?>
<Properties xmlns="http://schemas.openxmlformats.org/officeDocument/2006/custom-properties" xmlns:vt="http://schemas.openxmlformats.org/officeDocument/2006/docPropsVTypes"/>
</file>