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Arial" w:cs="Arial" w:eastAsia="Arial" w:hAnsi="Arial"/>
          <w:color w:val="000000"/>
          <w:sz w:val="64"/>
          <w:szCs w:val="64"/>
        </w:rPr>
        <w:t xml:space="preserve">Subscription</w:t>
      </w:r>
    </w:p>
    <w:p>
      <w:pPr>
        <w:spacing w:after="300"/>
      </w:pPr>
      <w:r>
        <w:rPr>
          <w:rFonts w:ascii="Arial" w:cs="Arial" w:eastAsia="Arial" w:hAnsi="Arial"/>
          <w:color w:val="000000"/>
          <w:sz w:val="22"/>
          <w:szCs w:val="22"/>
        </w:rPr>
        <w:t xml:space="preserve">A Subscription in Azure can be considered as a logical container into which the resources and services can be created, configured, and installed. For example – Virtual Machines, Web Apps, Storage Accounts, Automations, Functions, Logic Apps, etc. As stated earlier, a Tenant can have one or more Subscriptions that depends on organizational requirements and each Subscription has a name, and like Tenants, have a unique identity, called as Subscription ID</w:t>
      </w:r>
    </w:p>
    <w:p>
      <w:pPr>
        <w:spacing w:after="300"/>
      </w:pPr>
      <w:r>
        <w:rPr>
          <w:rFonts w:ascii="Arial" w:cs="Arial" w:eastAsia="Arial" w:hAnsi="Arial"/>
          <w:color w:val="000000"/>
          <w:sz w:val="22"/>
          <w:szCs w:val="22"/>
        </w:rPr>
        <w:t xml:space="preserve">Although the fine-grained permissions for individual resources can be managed from within the resource using Role Based Access Control (RBAC), Subscriptions can also be used for coarse-grained access at the subscription level that percolates down to individual resources. Also, the usage costs are managed at the Subscription level for all the resources and services being configured within that subscription. You can also choose to change the Tenant for a Subscription, which is in in turn also moves the resources within the Subscription to the new Tenant.</w:t>
      </w:r>
    </w:p>
    <w:p>
      <w:pPr>
        <w:spacing w:after="300"/>
      </w:pPr>
      <w:r>
        <w:rPr>
          <w:rFonts w:ascii="Arial" w:cs="Arial" w:eastAsia="Arial" w:hAnsi="Arial"/>
          <w:color w:val="000000"/>
          <w:sz w:val="22"/>
          <w:szCs w:val="22"/>
        </w:rPr>
        <w:t xml:space="preserve">One important point is that the Subscriptions are not tied to a particular Azure Region, which means that the Subscription can contain resources from any Region. This also does not mean that you can create resources in all the Azure Regions, as a few geographies and regions may be restricted and the Resources within a Subscription that are deployed to different Regions will incur applicable cross-Region costs for that resource.</w:t>
      </w:r>
    </w:p>
    <w:p>
      <w:pPr>
        <w:spacing w:after="300"/>
      </w:pPr>
      <w:r>
        <w:rPr>
          <w:rFonts w:ascii="Arial" w:cs="Arial" w:eastAsia="Arial" w:hAnsi="Arial"/>
          <w:color w:val="000000"/>
          <w:sz w:val="22"/>
          <w:szCs w:val="22"/>
        </w:rPr>
        <w:t xml:space="preserve">Hope you now have a better understanding of Azure Tenant and Azure Subscription and how they relate to each other.</w:t>
      </w:r>
    </w:p>
    <w:p>
      <w:pPr>
        <w:spacing w:after="200"/>
        <w:jc w:val="right"/>
      </w:pPr>
      <w:r>
        <w:rPr>
          <w:rFonts w:ascii="Arial" w:cs="Arial" w:eastAsia="Arial" w:hAnsi="Arial"/>
          <w:b/>
          <w:bCs/>
          <w:color w:val="000000"/>
          <w:sz w:val="22"/>
          <w:szCs w:val="22"/>
        </w:rPr>
        <w:br/>
        <w:t xml:space="preserve">February 28, 2022</w:t>
      </w:r>
      <w:r>
        <w:rPr>
          <w:rFonts w:ascii="Arial" w:cs="Arial" w:eastAsia="Arial" w:hAnsi="Arial"/>
          <w:b/>
          <w:bCs/>
          <w:color w:val="000000"/>
          <w:sz w:val="22"/>
          <w:szCs w:val="22"/>
        </w:rPr>
        <w:br/>
        <w:t xml:space="preserve">Azure Administrator</w:t>
      </w:r>
    </w:p>
    <w:p>
      <w:pPr>
        <w:spacing w:after="300"/>
      </w:pPr>
      <w:r>
        <w:rPr>
          <w:rFonts w:ascii="Arial" w:cs="Arial" w:eastAsia="Arial" w:hAnsi="Arial"/>
          <w:color w:val="000000"/>
          <w:sz w:val="44"/>
          <w:szCs w:val="44"/>
        </w:rPr>
        <w:t xml:space="preserve">Published by Neeraj Kumar - Digital Transformations | Data Science | Cognitive Services | IoT</w:t>
      </w:r>
    </w:p>
    <w:p>
      <w:pPr>
        <w:spacing w:after="300"/>
      </w:pPr>
      <w:r>
        <w:rPr>
          <w:rFonts w:ascii="Arial" w:cs="Arial" w:eastAsia="Arial" w:hAnsi="Arial"/>
          <w:color w:val="000000"/>
          <w:sz w:val="22"/>
          <w:szCs w:val="22"/>
        </w:rPr>
        <w:t xml:space="preserve">Neeraj is an Azure Enthusiast and Author. He is also a certified Azure Administrator and Architect and is currently working as a Cloud Architect. With an IT experience of more than 20 years, Neeraj helps organizations of all sizes in their cloud endeavors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auto" w:sz="0"/>
              <w:left w:val="none" w:color="auto" w:sz="0"/>
              <w:bottom w:val="none" w:color="auto" w:sz="0"/>
              <w:right w:val="none" w:color="auto" w:sz="0"/>
            </w:tcBorders>
            <w:shd w:fill="FFFFFF" w:val="clear"/>
          </w:tcPr>
          <w:p>
            <w:r>
              <w:rPr>
                <w:rFonts w:ascii="Arial" w:cs="Arial" w:eastAsia="Arial" w:hAnsi="Arial"/>
                <w:color w:val="000000"/>
                <w:sz w:val="22"/>
                <w:szCs w:val="22"/>
              </w:rPr>
              <w:t xml:space="preserve">architecting solutions for the cloud.</w:t>
            </w:r>
          </w:p>
        </w:tc>
        <w:tc>
          <w:tcPr>
            <w:tcW w:type="dxa" w:w="4680"/>
            <w:tcBorders>
              <w:top w:val="none" w:color="auto" w:sz="0"/>
              <w:left w:val="none" w:color="auto" w:sz="0"/>
              <w:bottom w:val="none" w:color="auto" w:sz="0"/>
              <w:right w:val="none" w:color="auto" w:sz="0"/>
            </w:tcBorders>
            <w:shd w:fill="FFFFFF" w:val="clear"/>
          </w:tcPr>
          <w:p>
            <w:pPr>
              <w:jc w:val="right"/>
            </w:pPr>
            <w:r>
              <w:rPr>
                <w:rFonts w:ascii="Arial" w:cs="Arial" w:eastAsia="Arial" w:hAnsi="Arial"/>
                <w:color w:val="000000"/>
                <w:sz w:val="22"/>
                <w:szCs w:val="22"/>
              </w:rPr>
              <w:t xml:space="preserve">View all posts by Neeraj Kumar - Digital Transformations | Data Science | Cognitive Services | IoT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1766102818250-Jimenez-007</dc:title>
  <dc:creator>Gemini PDF Converter</dc:creator>
  <dc:description>Converted from PDF</dc:description>
  <cp:lastModifiedBy>Un-named</cp:lastModifiedBy>
  <cp:revision>1</cp:revision>
  <dcterms:created xsi:type="dcterms:W3CDTF">2025-12-19T01:03:41.070Z</dcterms:created>
  <dcterms:modified xsi:type="dcterms:W3CDTF">2025-12-19T01:03:41.071Z</dcterms:modified>
</cp:coreProperties>
</file>

<file path=docProps/custom.xml><?xml version="1.0" encoding="utf-8"?>
<Properties xmlns="http://schemas.openxmlformats.org/officeDocument/2006/custom-properties" xmlns:vt="http://schemas.openxmlformats.org/officeDocument/2006/docPropsVTypes"/>
</file>