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left"/>
        <w:rPr>
          <w:rFonts w:ascii="Times Roman" w:cs="Times Roman" w:hAnsi="Times Roman" w:eastAsia="Times Roman"/>
          <w:rtl w:val="0"/>
        </w:rPr>
      </w:pPr>
      <w:r>
        <w:rPr>
          <w:rFonts w:ascii="Times Roman" w:hAnsi="Times Roman"/>
          <w:b w:val="1"/>
          <w:bCs w:val="1"/>
          <w:rtl w:val="0"/>
          <w:lang w:val="de-DE"/>
        </w:rPr>
        <w:t>Title:</w:t>
      </w:r>
      <w:r>
        <w:rPr>
          <w:rFonts w:ascii="Times Roman" w:hAnsi="Times Roman"/>
          <w:rtl w:val="0"/>
          <w:lang w:val="en-US"/>
        </w:rPr>
        <w:t xml:space="preserve"> A Comparative Evaluation of Product A and Product B for Glucose Monitoring: A Study by Contoso Enterprise and SynLab Institute</w:t>
      </w:r>
    </w:p>
    <w:p>
      <w:pPr>
        <w:pStyle w:val="Default"/>
        <w:bidi w:val="0"/>
        <w:spacing w:before="0" w:after="240"/>
        <w:ind w:left="0" w:right="0" w:firstLine="0"/>
        <w:jc w:val="left"/>
        <w:rPr>
          <w:rFonts w:ascii="Times Roman" w:cs="Times Roman" w:hAnsi="Times Roman" w:eastAsia="Times Roman"/>
          <w:rtl w:val="0"/>
        </w:rPr>
      </w:pPr>
      <w:r>
        <w:rPr>
          <w:rFonts w:ascii="Times Roman" w:hAnsi="Times Roman"/>
          <w:b w:val="1"/>
          <w:bCs w:val="1"/>
          <w:rtl w:val="0"/>
          <w:lang w:val="de-DE"/>
        </w:rPr>
        <w:t>Abstract:</w:t>
      </w:r>
      <w:r>
        <w:rPr>
          <w:rFonts w:ascii="Times Roman" w:hAnsi="Times Roman"/>
          <w:rtl w:val="0"/>
          <w:lang w:val="en-US"/>
        </w:rPr>
        <w:t xml:space="preserve"> This study evaluates the performance of two glucose monitoring products, Product A by Contoso Enterprise and Product B by SynLab Institute. Utilizing a sample of 100 participants over four weeks, the accuracy, reliability, and user experience of each device were analyzed. Product B demonstrated a mean absolute relative difference (MARD) of 8.5%, while Product A reported 11.3%. Additionally, Product B was favored in user satisfaction metrics, citing superior accuracy and interface design. The findings suggest that while both devices perform within acceptable accuracy limits, Product B holds a clear advantage in precision and user experience.</w:t>
      </w:r>
    </w:p>
    <w:p>
      <w:pPr>
        <w:pStyle w:val="Default"/>
        <w:bidi w:val="0"/>
        <w:spacing w:before="0" w:after="240"/>
        <w:ind w:left="0" w:right="0" w:firstLine="0"/>
        <w:jc w:val="left"/>
        <w:rPr>
          <w:rFonts w:ascii="Times Roman" w:cs="Times Roman" w:hAnsi="Times Roman" w:eastAsia="Times Roman"/>
          <w:rtl w:val="0"/>
        </w:rPr>
      </w:pPr>
      <w:r>
        <w:rPr>
          <w:rFonts w:ascii="Times Roman" w:hAnsi="Times Roman"/>
          <w:b w:val="1"/>
          <w:bCs w:val="1"/>
          <w:rtl w:val="0"/>
          <w:lang w:val="fr-FR"/>
        </w:rPr>
        <w:t>Introduction:</w:t>
      </w:r>
      <w:r>
        <w:rPr>
          <w:rFonts w:ascii="Times Roman" w:hAnsi="Times Roman"/>
          <w:rtl w:val="0"/>
          <w:lang w:val="en-US"/>
        </w:rPr>
        <w:t xml:space="preserve"> Continuous glucose monitoring (CGM) systems have revolutionized diabetes management by providing real-time glucose readings and trends. The need for highly accurate and user-friendly devices is crucial for improving patient outcomes. This study aims to compare the performance of Product A and Product B, focusing on accuracy, reliability, and overall usability.</w:t>
      </w:r>
    </w:p>
    <w:p>
      <w:pPr>
        <w:pStyle w:val="Default"/>
        <w:bidi w:val="0"/>
        <w:spacing w:before="0" w:after="240"/>
        <w:ind w:left="0" w:right="0" w:firstLine="0"/>
        <w:jc w:val="left"/>
        <w:rPr>
          <w:rFonts w:ascii="Times Roman" w:cs="Times Roman" w:hAnsi="Times Roman" w:eastAsia="Times Roman"/>
          <w:rtl w:val="0"/>
        </w:rPr>
      </w:pPr>
      <w:r>
        <w:rPr>
          <w:rFonts w:ascii="Times Roman" w:hAnsi="Times Roman"/>
          <w:b w:val="1"/>
          <w:bCs w:val="1"/>
          <w:rtl w:val="0"/>
          <w:lang w:val="en-US"/>
        </w:rPr>
        <w:t>Methods:</w:t>
      </w:r>
      <w:r>
        <w:rPr>
          <w:rFonts w:ascii="Times Roman" w:hAnsi="Times Roman"/>
          <w:rtl w:val="0"/>
          <w:lang w:val="en-US"/>
        </w:rPr>
        <w:t xml:space="preserve"> A total of 100 participants were recruited and divided equally between Product A and Product B users. Each participant used their assigned device for four weeks, recording glucose levels as per manufacturer guidelines. Capillary blood glucose readings served as reference values for accuracy comparison. Data collection focused on MARD, sensor longevity, connectivity issues, and user-reported satisfaction.</w:t>
      </w:r>
    </w:p>
    <w:p>
      <w:pPr>
        <w:pStyle w:val="Default"/>
        <w:bidi w:val="0"/>
        <w:spacing w:before="0"/>
        <w:ind w:left="0" w:right="0" w:firstLine="0"/>
        <w:jc w:val="left"/>
        <w:rPr>
          <w:rFonts w:ascii="Times Roman" w:cs="Times Roman" w:hAnsi="Times Roman" w:eastAsia="Times Roman"/>
          <w:b w:val="0"/>
          <w:bCs w:val="0"/>
          <w:rtl w:val="0"/>
        </w:rPr>
      </w:pPr>
      <w:r>
        <w:rPr>
          <w:rFonts w:ascii="Times Roman" w:hAnsi="Times Roman"/>
          <w:b w:val="1"/>
          <w:bCs w:val="1"/>
          <w:rtl w:val="0"/>
          <w:lang w:val="en-US"/>
        </w:rPr>
        <w:t>Results:</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Accuracy:</w:t>
      </w:r>
      <w:r>
        <w:rPr>
          <w:rFonts w:ascii="Times Roman" w:hAnsi="Times Roman"/>
          <w:rtl w:val="0"/>
          <w:lang w:val="en-US"/>
        </w:rPr>
        <w:t xml:space="preserve"> Product B exhibited a MARD of 8.5%, compared to Product A's 11.3%.</w:t>
      </w:r>
      <w:r>
        <w:rPr>
          <w:rFonts w:ascii="Times Roman" w:cs="Times Roman" w:hAnsi="Times Roman" w:eastAsia="Times Roman"/>
          <w:rtl w:val="0"/>
        </w:rPr>
        <w:br w:type="textWrapping"/>
      </w:r>
    </w:p>
    <w:p>
      <w:pPr>
        <w:pStyle w:val="Default"/>
        <w:numPr>
          <w:ilvl w:val="0"/>
          <w:numId w:val="2"/>
        </w:numPr>
        <w:bidi w:val="0"/>
        <w:spacing w:before="0"/>
        <w:ind w:right="0"/>
        <w:jc w:val="left"/>
        <w:rPr>
          <w:rFonts w:ascii="Times Roman" w:hAnsi="Times Roman"/>
          <w:rtl w:val="0"/>
          <w:lang w:val="nl-NL"/>
        </w:rPr>
      </w:pPr>
      <w:r>
        <w:rPr>
          <w:rFonts w:ascii="Times Roman" w:hAnsi="Times Roman"/>
          <w:b w:val="1"/>
          <w:bCs w:val="1"/>
          <w:rtl w:val="0"/>
          <w:lang w:val="nl-NL"/>
        </w:rPr>
        <w:t>Sensor Longevity:</w:t>
      </w:r>
      <w:r>
        <w:rPr>
          <w:rFonts w:ascii="Times Roman" w:hAnsi="Times Roman"/>
          <w:rtl w:val="0"/>
          <w:lang w:val="en-US"/>
        </w:rPr>
        <w:t xml:space="preserve"> Product B maintained a 14-day sensor life, while Product A required replacement every 10 days.</w:t>
      </w:r>
      <w:r>
        <w:rPr>
          <w:rFonts w:ascii="Times Roman" w:cs="Times Roman" w:hAnsi="Times Roman" w:eastAsia="Times Roman"/>
          <w:rtl w:val="0"/>
        </w:rPr>
        <w:br w:type="textWrapping"/>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Connectivity and Reliability:</w:t>
      </w:r>
      <w:r>
        <w:rPr>
          <w:rFonts w:ascii="Times Roman" w:hAnsi="Times Roman"/>
          <w:rtl w:val="0"/>
          <w:lang w:val="en-US"/>
        </w:rPr>
        <w:t xml:space="preserve"> Product B had fewer disconnection incidents (2%) versus Product A (6%).</w:t>
      </w:r>
      <w:r>
        <w:rPr>
          <w:rFonts w:ascii="Times Roman" w:cs="Times Roman" w:hAnsi="Times Roman" w:eastAsia="Times Roman"/>
          <w:rtl w:val="0"/>
        </w:rPr>
        <w:br w:type="textWrapping"/>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User Satisfaction:</w:t>
      </w:r>
      <w:r>
        <w:rPr>
          <w:rFonts w:ascii="Times Roman" w:hAnsi="Times Roman"/>
          <w:rtl w:val="0"/>
          <w:lang w:val="en-US"/>
        </w:rPr>
        <w:t xml:space="preserve"> 88% of Product B users rated the device as "very easy" to use, compared to 70% for Product A.</w:t>
      </w:r>
      <w:r>
        <w:rPr>
          <w:rFonts w:ascii="Times Roman" w:cs="Times Roman" w:hAnsi="Times Roman" w:eastAsia="Times Roman"/>
          <w:rtl w:val="0"/>
        </w:rPr>
        <w:br w:type="textWrapping"/>
      </w:r>
    </w:p>
    <w:p>
      <w:pPr>
        <w:pStyle w:val="Default"/>
        <w:bidi w:val="0"/>
        <w:spacing w:before="0" w:after="240"/>
        <w:ind w:left="0" w:right="0" w:firstLine="0"/>
        <w:jc w:val="left"/>
        <w:rPr>
          <w:rFonts w:ascii="Times Roman" w:cs="Times Roman" w:hAnsi="Times Roman" w:eastAsia="Times Roman"/>
          <w:rtl w:val="0"/>
        </w:rPr>
      </w:pPr>
      <w:r>
        <w:rPr>
          <w:rFonts w:ascii="Times Roman" w:hAnsi="Times Roman"/>
          <w:b w:val="1"/>
          <w:bCs w:val="1"/>
          <w:rtl w:val="0"/>
          <w:lang w:val="en-US"/>
        </w:rPr>
        <w:t>Discussion:</w:t>
      </w:r>
      <w:r>
        <w:rPr>
          <w:rFonts w:ascii="Times Roman" w:hAnsi="Times Roman"/>
          <w:rtl w:val="0"/>
          <w:lang w:val="en-US"/>
        </w:rPr>
        <w:t xml:space="preserve"> Product B demonstrated superior accuracy, extended sensor longevity, and higher user satisfaction compared to Product A. While both products provide reliable glucose monitoring, these advantages may contribute to improved patient adherence and better glycemic control. Future research should explore larger sample sizes and extended study durations.</w:t>
      </w:r>
    </w:p>
    <w:p>
      <w:pPr>
        <w:pStyle w:val="Default"/>
        <w:bidi w:val="0"/>
        <w:spacing w:before="0" w:after="240"/>
        <w:ind w:left="0" w:right="0" w:firstLine="0"/>
        <w:jc w:val="left"/>
        <w:rPr>
          <w:rtl w:val="0"/>
        </w:rPr>
      </w:pPr>
      <w:r>
        <w:rPr>
          <w:rFonts w:ascii="Times Roman" w:hAnsi="Times Roman"/>
          <w:b w:val="1"/>
          <w:bCs w:val="1"/>
          <w:rtl w:val="0"/>
          <w:lang w:val="it-IT"/>
        </w:rPr>
        <w:t>Conclusion:</w:t>
      </w:r>
      <w:r>
        <w:rPr>
          <w:rFonts w:ascii="Times Roman" w:hAnsi="Times Roman"/>
          <w:rtl w:val="0"/>
          <w:lang w:val="en-US"/>
        </w:rPr>
        <w:t xml:space="preserve"> Both Product A and Product B meet industry standards for CGM performance; however, Product B outperforms in accuracy, longevity, and user experience. These findings can inform healthcare professionals and patients when selecting a glucose monitoring system.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