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38"/>
          <w:szCs w:val="38"/>
          <w:rtl w:val="0"/>
        </w:rPr>
      </w:pPr>
      <w:r>
        <w:rPr>
          <w:rFonts w:ascii="Times Roman" w:hAnsi="Times Roman"/>
          <w:sz w:val="38"/>
          <w:szCs w:val="38"/>
          <w:rtl w:val="0"/>
          <w:lang w:val="en-US"/>
        </w:rPr>
        <w:t>Accuracy Performance Within Glucose Ranges Compared with Capillary Glucose Reference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149"/>
        <w:gridCol w:w="1143"/>
        <w:gridCol w:w="2028"/>
        <w:gridCol w:w="2022"/>
        <w:gridCol w:w="927"/>
        <w:gridCol w:w="921"/>
      </w:tblGrid>
      <w:tr>
        <w:tblPrEx>
          <w:shd w:val="clear" w:color="auto" w:fill="auto"/>
        </w:tblPrEx>
        <w:trPr>
          <w:trHeight w:val="1127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Glucose Range (mg/dL)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MARD, % (Product A)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MARD, % (Product B)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 xml:space="preserve">Percentage 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±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20 mg/dL/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±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20% (Product A)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 xml:space="preserve">Percentage 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±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20 mg/dL/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±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20% (Product B)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N (%) (Product A)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N (%) (Product B)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&lt; 54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16.3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12.2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60.8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78.1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20 (1.2)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43 (1.4)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54 to 69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13.5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9.3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68.7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85.4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55 (3.2)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88 (2.8)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&lt; 70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14.1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9.8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66.9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82.6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75 (4.3)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131 (4.2)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70 to 180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11.9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7.9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76.5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90.5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1311 (75.4)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2211 (71.3)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181 to 250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11.2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81.3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93.1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274 (15.8)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586 (18.9)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&gt; 250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10.8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7.0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80.2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94.5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78 (4.5)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174 (5.6)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 xml:space="preserve">≥ 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70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11.4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8.2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75.9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91.0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1663 (95.7)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2971 (95.8)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Combined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11.3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8.5</w:t>
            </w:r>
          </w:p>
        </w:tc>
        <w:tc>
          <w:tcPr>
            <w:tcW w:type="dxa" w:w="20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74.6</w:t>
            </w:r>
          </w:p>
        </w:tc>
        <w:tc>
          <w:tcPr>
            <w:tcW w:type="dxa" w:w="2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90.2</w:t>
            </w:r>
          </w:p>
        </w:tc>
        <w:tc>
          <w:tcPr>
            <w:tcW w:type="dxa" w:w="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1738</w:t>
            </w:r>
          </w:p>
        </w:tc>
        <w:tc>
          <w:tcPr>
            <w:tcW w:type="dxa" w:w="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3102</w:t>
            </w:r>
          </w:p>
        </w:tc>
      </w:tr>
    </w:tbl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1"/>
          <w:szCs w:val="21"/>
          <w:rtl w:val="0"/>
        </w:rPr>
      </w:pPr>
      <w:r>
        <w:rPr>
          <w:rFonts w:ascii="Times Roman" w:hAnsi="Times Roman"/>
          <w:sz w:val="21"/>
          <w:szCs w:val="21"/>
          <w:rtl w:val="0"/>
          <w:lang w:val="it-IT"/>
        </w:rPr>
        <w:t>Abbreviations: MARD</w:t>
      </w:r>
      <w:r>
        <w:rPr>
          <w:rFonts w:ascii="Times Roman" w:hAnsi="Times Roman"/>
          <w:sz w:val="21"/>
          <w:szCs w:val="21"/>
          <w:rtl w:val="0"/>
          <w:lang w:val="en-US"/>
        </w:rPr>
        <w:t>:</w:t>
      </w:r>
      <w:r>
        <w:rPr>
          <w:rFonts w:ascii="Times Roman" w:hAnsi="Times Roman"/>
          <w:sz w:val="21"/>
          <w:szCs w:val="21"/>
          <w:rtl w:val="0"/>
          <w:lang w:val="en-US"/>
        </w:rPr>
        <w:t xml:space="preserve"> mean absolute relative difference; SMBG</w:t>
      </w:r>
      <w:r>
        <w:rPr>
          <w:rFonts w:ascii="Times Roman" w:hAnsi="Times Roman"/>
          <w:sz w:val="21"/>
          <w:szCs w:val="21"/>
          <w:rtl w:val="0"/>
          <w:lang w:val="en-US"/>
        </w:rPr>
        <w:t>:</w:t>
      </w:r>
      <w:r>
        <w:rPr>
          <w:rFonts w:ascii="Times Roman" w:hAnsi="Times Roman"/>
          <w:sz w:val="21"/>
          <w:szCs w:val="21"/>
          <w:rtl w:val="0"/>
          <w:lang w:val="en-US"/>
        </w:rPr>
        <w:t xml:space="preserve"> self-monitoring blood glucose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1"/>
          <w:szCs w:val="21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1"/>
          <w:szCs w:val="21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7"/>
          <w:szCs w:val="27"/>
          <w:rtl w:val="0"/>
          <w:lang w:val="en-US"/>
        </w:rPr>
        <w:t xml:space="preserve">The capillary BG measurements were done by the participants in the home setting, and therefore, this part of the study represented the real-world situation where the patient compares their CGM glucose to the BG meter results. 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Typically, a </w:t>
      </w:r>
      <w:r>
        <w:rPr>
          <w:rFonts w:ascii="Times Roman" w:hAnsi="Times Roman"/>
          <w:b w:val="1"/>
          <w:bCs w:val="1"/>
          <w:rtl w:val="0"/>
          <w:lang w:val="en-US"/>
        </w:rPr>
        <w:t>MARD below 10% is considered very accurate</w:t>
      </w:r>
      <w:r>
        <w:rPr>
          <w:rFonts w:ascii="Times Roman" w:hAnsi="Times Roman"/>
          <w:rtl w:val="0"/>
          <w:lang w:val="en-US"/>
        </w:rPr>
        <w:t xml:space="preserve"> for CGM systems, while </w:t>
      </w:r>
      <w:r>
        <w:rPr>
          <w:rFonts w:ascii="Times Roman" w:hAnsi="Times Roman"/>
          <w:b w:val="1"/>
          <w:bCs w:val="1"/>
          <w:rtl w:val="0"/>
          <w:lang w:val="en-US"/>
        </w:rPr>
        <w:t>anything significantly higher may indicate less reliable readings.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