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ACTUALIZACIÓN TÉCNICA DEL PROYECTO</w:t>
      </w:r>
    </w:p>
    <w:p>
      <w:pPr>
        <w:jc w:val="center"/>
      </w:pPr>
      <w:r>
        <w:rPr>
          <w:b/>
          <w:sz w:val="36"/>
        </w:rPr>
        <w:t>Validación científica de Psynthea frente a Synthea</w:t>
      </w:r>
    </w:p>
    <w:p>
      <w:pPr>
        <w:jc w:val="center"/>
      </w:pPr>
      <w:r>
        <w:rPr>
          <w:i/>
          <w:sz w:val="24"/>
        </w:rPr>
        <w:t>Corrección de semántica demográfica, resultados obtenidos y estado actual</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Fecha de corte</w:t>
            </w:r>
          </w:p>
        </w:tc>
        <w:tc>
          <w:tcPr>
            <w:tcW w:type="dxa" w:w="5040"/>
            <w:vAlign w:val="center"/>
          </w:tcPr>
          <w:p>
            <w:r/>
            <w:r>
              <w:rPr>
                <w:rFonts w:ascii="Aptos" w:hAnsi="Aptos"/>
                <w:b w:val="0"/>
                <w:sz w:val="18"/>
              </w:rPr>
              <w:t>28 de julio de 2026</w:t>
            </w:r>
          </w:p>
        </w:tc>
      </w:tr>
      <w:tr>
        <w:tc>
          <w:tcPr>
            <w:tcW w:type="dxa" w:w="5040"/>
            <w:vAlign w:val="center"/>
            <w:shd w:fill="D9EAF7"/>
          </w:tcPr>
          <w:p>
            <w:r/>
            <w:r>
              <w:rPr>
                <w:rFonts w:ascii="Aptos" w:hAnsi="Aptos"/>
                <w:b/>
                <w:sz w:val="18"/>
              </w:rPr>
              <w:t>Repositorios implicados</w:t>
            </w:r>
          </w:p>
        </w:tc>
        <w:tc>
          <w:tcPr>
            <w:tcW w:type="dxa" w:w="5040"/>
            <w:vAlign w:val="center"/>
          </w:tcPr>
          <w:p>
            <w:r/>
            <w:r>
              <w:rPr>
                <w:rFonts w:ascii="Aptos" w:hAnsi="Aptos"/>
                <w:b w:val="0"/>
                <w:sz w:val="18"/>
              </w:rPr>
              <w:t>psynthea y psynthea-validation</w:t>
            </w:r>
          </w:p>
        </w:tc>
      </w:tr>
      <w:tr>
        <w:tc>
          <w:tcPr>
            <w:tcW w:type="dxa" w:w="5040"/>
            <w:vAlign w:val="center"/>
            <w:shd w:fill="D9EAF7"/>
          </w:tcPr>
          <w:p>
            <w:r/>
            <w:r>
              <w:rPr>
                <w:rFonts w:ascii="Aptos" w:hAnsi="Aptos"/>
                <w:b/>
                <w:sz w:val="18"/>
              </w:rPr>
              <w:t>Módulo analizado</w:t>
            </w:r>
          </w:p>
        </w:tc>
        <w:tc>
          <w:tcPr>
            <w:tcW w:type="dxa" w:w="5040"/>
            <w:vAlign w:val="center"/>
          </w:tcPr>
          <w:p>
            <w:r/>
            <w:r>
              <w:rPr>
                <w:rFonts w:ascii="Aptos" w:hAnsi="Aptos"/>
                <w:b w:val="0"/>
                <w:sz w:val="18"/>
              </w:rPr>
              <w:t>Hypertension</w:t>
            </w:r>
          </w:p>
        </w:tc>
      </w:tr>
      <w:tr>
        <w:tc>
          <w:tcPr>
            <w:tcW w:type="dxa" w:w="5040"/>
            <w:vAlign w:val="center"/>
            <w:shd w:fill="D9EAF7"/>
          </w:tcPr>
          <w:p>
            <w:r/>
            <w:r>
              <w:rPr>
                <w:rFonts w:ascii="Aptos" w:hAnsi="Aptos"/>
                <w:b/>
                <w:sz w:val="18"/>
              </w:rPr>
              <w:t>Objetivo inmediato</w:t>
            </w:r>
          </w:p>
        </w:tc>
        <w:tc>
          <w:tcPr>
            <w:tcW w:type="dxa" w:w="5040"/>
            <w:vAlign w:val="center"/>
          </w:tcPr>
          <w:p>
            <w:r/>
            <w:r>
              <w:rPr>
                <w:rFonts w:ascii="Aptos" w:hAnsi="Aptos"/>
                <w:b w:val="0"/>
                <w:sz w:val="18"/>
              </w:rPr>
              <w:t>Explicar y reducir la discrepancia restante en encounters</w:t>
            </w:r>
          </w:p>
        </w:tc>
      </w:tr>
    </w:tbl>
    <w:p>
      <w:r>
        <w:br w:type="page"/>
      </w:r>
    </w:p>
    <w:p>
      <w:pPr>
        <w:pStyle w:val="Heading1"/>
      </w:pPr>
      <w:r>
        <w:t>1. Resumen ejecutivo</w:t>
      </w:r>
    </w:p>
    <w:p>
      <w:r>
        <w:t>En este bloque de trabajo se identificó y corrigió una discrepancia estructural en la generación de edades de Psynthea cuando se utilizaba simultáneamente un perfil demográfico y un rango explícito de edad (--min-age/--max-age). Antes de la corrección, Psynthea conservaba la distribución etaria del perfil de Massachusetts recortada al rango solicitado. Synthea, en cambio, se comportaba de forma compatible con una distribución uniforme dentro del rango explícito. Esta diferencia sesgaba la cohorte de Psynthea hacia edades más jóvenes y afectaba de forma transversal a la prevalencia de hipertensión, medicación, encuentros y observaciones.</w:t>
      </w:r>
    </w:p>
    <w:p>
      <w:r>
        <w:t>Tras corregir la precedencia del rango explícito de edad, la edad media de Psynthea pasó de 45,84 a 52,56 años, frente a 53,30 en Synthea. La diferencia clínica se redujo de forma notable: medications quedó en 458 frente a 462, conditions en 283 frente a 269 y observations en 34.128 frente a 31.986. La principal discrepancia pendiente es encounters: 6.924 en Psynthea frente a 9.410 en Synthea (-26,4 %).</w:t>
      </w:r>
    </w:p>
    <w:p>
      <w:r>
        <w:t>La demografía puede considerarse funcionalmente alineada para esta fase. El siguiente trabajo debe centrarse exclusivamente en descomponer la generación de encuentros por tipo, origen y periodicidad para localizar qué lógica de Synthea todavía no está reproducida por Psynthea.</w:t>
      </w:r>
    </w:p>
    <w:p>
      <w:pPr>
        <w:pStyle w:val="Heading1"/>
      </w:pPr>
      <w:r>
        <w:t>2. Punto de partida del análisis</w:t>
      </w:r>
    </w:p>
    <w:p>
      <w:r>
        <w:t>La ejecución de Psynthea con el perfil demográfico de Massachusetts, cohorte de 1.000 pacientes, semilla 42, módulo hypertension, edades 18-90, wellness encounters, vitales, mortalidad, keystone y 10 años de historia producía inicialmente: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rFonts w:ascii="Aptos" w:hAnsi="Aptos"/>
                <w:b/>
                <w:color w:val="FFFFFF"/>
                <w:sz w:val="18"/>
              </w:rPr>
              <w:t>Entidad</w:t>
            </w:r>
          </w:p>
        </w:tc>
        <w:tc>
          <w:tcPr>
            <w:tcW w:type="dxa" w:w="5040"/>
            <w:vAlign w:val="center"/>
            <w:shd w:fill="1F4E78"/>
          </w:tcPr>
          <w:p>
            <w:r/>
            <w:r>
              <w:rPr>
                <w:rFonts w:ascii="Aptos" w:hAnsi="Aptos"/>
                <w:b/>
                <w:color w:val="FFFFFF"/>
                <w:sz w:val="18"/>
              </w:rPr>
              <w:t>Psynthea antes de la corrección</w:t>
            </w:r>
          </w:p>
        </w:tc>
      </w:tr>
      <w:tr>
        <w:tc>
          <w:tcPr>
            <w:tcW w:type="dxa" w:w="5040"/>
            <w:vAlign w:val="center"/>
          </w:tcPr>
          <w:p>
            <w:r/>
            <w:r>
              <w:rPr>
                <w:rFonts w:ascii="Aptos" w:hAnsi="Aptos"/>
                <w:b w:val="0"/>
                <w:sz w:val="18"/>
              </w:rPr>
              <w:t>patients</w:t>
            </w:r>
          </w:p>
        </w:tc>
        <w:tc>
          <w:tcPr>
            <w:tcW w:type="dxa" w:w="5040"/>
            <w:vAlign w:val="center"/>
          </w:tcPr>
          <w:p>
            <w:r/>
            <w:r>
              <w:rPr>
                <w:rFonts w:ascii="Aptos" w:hAnsi="Aptos"/>
                <w:b w:val="0"/>
                <w:sz w:val="18"/>
              </w:rPr>
              <w:t>1.000</w:t>
            </w:r>
          </w:p>
        </w:tc>
      </w:tr>
      <w:tr>
        <w:tc>
          <w:tcPr>
            <w:tcW w:type="dxa" w:w="5040"/>
            <w:vAlign w:val="center"/>
          </w:tcPr>
          <w:p>
            <w:r/>
            <w:r>
              <w:rPr>
                <w:rFonts w:ascii="Aptos" w:hAnsi="Aptos"/>
                <w:b w:val="0"/>
                <w:sz w:val="18"/>
              </w:rPr>
              <w:t>encounters</w:t>
            </w:r>
          </w:p>
        </w:tc>
        <w:tc>
          <w:tcPr>
            <w:tcW w:type="dxa" w:w="5040"/>
            <w:vAlign w:val="center"/>
          </w:tcPr>
          <w:p>
            <w:r/>
            <w:r>
              <w:rPr>
                <w:rFonts w:ascii="Aptos" w:hAnsi="Aptos"/>
                <w:b w:val="0"/>
                <w:sz w:val="18"/>
              </w:rPr>
              <w:t>6.614</w:t>
            </w:r>
          </w:p>
        </w:tc>
      </w:tr>
      <w:tr>
        <w:tc>
          <w:tcPr>
            <w:tcW w:type="dxa" w:w="5040"/>
            <w:vAlign w:val="center"/>
          </w:tcPr>
          <w:p>
            <w:r/>
            <w:r>
              <w:rPr>
                <w:rFonts w:ascii="Aptos" w:hAnsi="Aptos"/>
                <w:b w:val="0"/>
                <w:sz w:val="18"/>
              </w:rPr>
              <w:t>conditions</w:t>
            </w:r>
          </w:p>
        </w:tc>
        <w:tc>
          <w:tcPr>
            <w:tcW w:type="dxa" w:w="5040"/>
            <w:vAlign w:val="center"/>
          </w:tcPr>
          <w:p>
            <w:r/>
            <w:r>
              <w:rPr>
                <w:rFonts w:ascii="Aptos" w:hAnsi="Aptos"/>
                <w:b w:val="0"/>
                <w:sz w:val="18"/>
              </w:rPr>
              <w:t>219</w:t>
            </w:r>
          </w:p>
        </w:tc>
      </w:tr>
      <w:tr>
        <w:tc>
          <w:tcPr>
            <w:tcW w:type="dxa" w:w="5040"/>
            <w:vAlign w:val="center"/>
          </w:tcPr>
          <w:p>
            <w:r/>
            <w:r>
              <w:rPr>
                <w:rFonts w:ascii="Aptos" w:hAnsi="Aptos"/>
                <w:b w:val="0"/>
                <w:sz w:val="18"/>
              </w:rPr>
              <w:t>medications</w:t>
            </w:r>
          </w:p>
        </w:tc>
        <w:tc>
          <w:tcPr>
            <w:tcW w:type="dxa" w:w="5040"/>
            <w:vAlign w:val="center"/>
          </w:tcPr>
          <w:p>
            <w:r/>
            <w:r>
              <w:rPr>
                <w:rFonts w:ascii="Aptos" w:hAnsi="Aptos"/>
                <w:b w:val="0"/>
                <w:sz w:val="18"/>
              </w:rPr>
              <w:t>357</w:t>
            </w:r>
          </w:p>
        </w:tc>
      </w:tr>
      <w:tr>
        <w:tc>
          <w:tcPr>
            <w:tcW w:type="dxa" w:w="5040"/>
            <w:vAlign w:val="center"/>
          </w:tcPr>
          <w:p>
            <w:r/>
            <w:r>
              <w:rPr>
                <w:rFonts w:ascii="Aptos" w:hAnsi="Aptos"/>
                <w:b w:val="0"/>
                <w:sz w:val="18"/>
              </w:rPr>
              <w:t>procedures</w:t>
            </w:r>
          </w:p>
        </w:tc>
        <w:tc>
          <w:tcPr>
            <w:tcW w:type="dxa" w:w="5040"/>
            <w:vAlign w:val="center"/>
          </w:tcPr>
          <w:p>
            <w:r/>
            <w:r>
              <w:rPr>
                <w:rFonts w:ascii="Aptos" w:hAnsi="Aptos"/>
                <w:b w:val="0"/>
                <w:sz w:val="18"/>
              </w:rPr>
              <w:t>4</w:t>
            </w:r>
          </w:p>
        </w:tc>
      </w:tr>
      <w:tr>
        <w:tc>
          <w:tcPr>
            <w:tcW w:type="dxa" w:w="5040"/>
            <w:vAlign w:val="center"/>
          </w:tcPr>
          <w:p>
            <w:r/>
            <w:r>
              <w:rPr>
                <w:rFonts w:ascii="Aptos" w:hAnsi="Aptos"/>
                <w:b w:val="0"/>
                <w:sz w:val="18"/>
              </w:rPr>
              <w:t>observations</w:t>
            </w:r>
          </w:p>
        </w:tc>
        <w:tc>
          <w:tcPr>
            <w:tcW w:type="dxa" w:w="5040"/>
            <w:vAlign w:val="center"/>
          </w:tcPr>
          <w:p>
            <w:r/>
            <w:r>
              <w:rPr>
                <w:rFonts w:ascii="Aptos" w:hAnsi="Aptos"/>
                <w:b w:val="0"/>
                <w:sz w:val="18"/>
              </w:rPr>
              <w:t>32.527</w:t>
            </w:r>
          </w:p>
        </w:tc>
      </w:tr>
    </w:tbl>
    <w:p>
      <w:r>
        <w:t>La comparación demográfica mostró una desviación severa en edad. Aunque sexo, raza y etnia eran coherentes con Massachusetts, la cohorte de Psynthea era mucho más joven.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rFonts w:ascii="Aptos" w:hAnsi="Aptos"/>
                <w:b/>
                <w:color w:val="FFFFFF"/>
                <w:sz w:val="18"/>
              </w:rPr>
              <w:t>Métrica</w:t>
            </w:r>
          </w:p>
        </w:tc>
        <w:tc>
          <w:tcPr>
            <w:tcW w:type="dxa" w:w="3360"/>
            <w:vAlign w:val="center"/>
            <w:shd w:fill="1F4E78"/>
          </w:tcPr>
          <w:p>
            <w:r/>
            <w:r>
              <w:rPr>
                <w:rFonts w:ascii="Aptos" w:hAnsi="Aptos"/>
                <w:b/>
                <w:color w:val="FFFFFF"/>
                <w:sz w:val="18"/>
              </w:rPr>
              <w:t>Synthea</w:t>
            </w:r>
          </w:p>
        </w:tc>
        <w:tc>
          <w:tcPr>
            <w:tcW w:type="dxa" w:w="3360"/>
            <w:vAlign w:val="center"/>
            <w:shd w:fill="1F4E78"/>
          </w:tcPr>
          <w:p>
            <w:r/>
            <w:r>
              <w:rPr>
                <w:rFonts w:ascii="Aptos" w:hAnsi="Aptos"/>
                <w:b/>
                <w:color w:val="FFFFFF"/>
                <w:sz w:val="18"/>
              </w:rPr>
              <w:t>Psynthea antes</w:t>
            </w:r>
          </w:p>
        </w:tc>
      </w:tr>
      <w:tr>
        <w:tc>
          <w:tcPr>
            <w:tcW w:type="dxa" w:w="3360"/>
            <w:vAlign w:val="center"/>
          </w:tcPr>
          <w:p>
            <w:r/>
            <w:r>
              <w:rPr>
                <w:rFonts w:ascii="Aptos" w:hAnsi="Aptos"/>
                <w:b w:val="0"/>
                <w:sz w:val="18"/>
              </w:rPr>
              <w:t>Edad media</w:t>
            </w:r>
          </w:p>
        </w:tc>
        <w:tc>
          <w:tcPr>
            <w:tcW w:type="dxa" w:w="3360"/>
            <w:vAlign w:val="center"/>
          </w:tcPr>
          <w:p>
            <w:r/>
            <w:r>
              <w:rPr>
                <w:rFonts w:ascii="Aptos" w:hAnsi="Aptos"/>
                <w:b w:val="0"/>
                <w:sz w:val="18"/>
              </w:rPr>
              <w:t>53,30</w:t>
            </w:r>
          </w:p>
        </w:tc>
        <w:tc>
          <w:tcPr>
            <w:tcW w:type="dxa" w:w="3360"/>
            <w:vAlign w:val="center"/>
          </w:tcPr>
          <w:p>
            <w:r/>
            <w:r>
              <w:rPr>
                <w:rFonts w:ascii="Aptos" w:hAnsi="Aptos"/>
                <w:b w:val="0"/>
                <w:sz w:val="18"/>
              </w:rPr>
              <w:t>45,84</w:t>
            </w:r>
          </w:p>
        </w:tc>
      </w:tr>
      <w:tr>
        <w:tc>
          <w:tcPr>
            <w:tcW w:type="dxa" w:w="3360"/>
            <w:vAlign w:val="center"/>
          </w:tcPr>
          <w:p>
            <w:r/>
            <w:r>
              <w:rPr>
                <w:rFonts w:ascii="Aptos" w:hAnsi="Aptos"/>
                <w:b w:val="0"/>
                <w:sz w:val="18"/>
              </w:rPr>
              <w:t>Mediana</w:t>
            </w:r>
          </w:p>
        </w:tc>
        <w:tc>
          <w:tcPr>
            <w:tcW w:type="dxa" w:w="3360"/>
            <w:vAlign w:val="center"/>
          </w:tcPr>
          <w:p>
            <w:r/>
            <w:r>
              <w:rPr>
                <w:rFonts w:ascii="Aptos" w:hAnsi="Aptos"/>
                <w:b w:val="0"/>
                <w:sz w:val="18"/>
              </w:rPr>
              <w:t>52</w:t>
            </w:r>
          </w:p>
        </w:tc>
        <w:tc>
          <w:tcPr>
            <w:tcW w:type="dxa" w:w="3360"/>
            <w:vAlign w:val="center"/>
          </w:tcPr>
          <w:p>
            <w:r/>
            <w:r>
              <w:rPr>
                <w:rFonts w:ascii="Aptos" w:hAnsi="Aptos"/>
                <w:b w:val="0"/>
                <w:sz w:val="18"/>
              </w:rPr>
              <w:t>46</w:t>
            </w:r>
          </w:p>
        </w:tc>
      </w:tr>
      <w:tr>
        <w:tc>
          <w:tcPr>
            <w:tcW w:type="dxa" w:w="3360"/>
            <w:vAlign w:val="center"/>
          </w:tcPr>
          <w:p>
            <w:r/>
            <w:r>
              <w:rPr>
                <w:rFonts w:ascii="Aptos" w:hAnsi="Aptos"/>
                <w:b w:val="0"/>
                <w:sz w:val="18"/>
              </w:rPr>
              <w:t>80-90 años</w:t>
            </w:r>
          </w:p>
        </w:tc>
        <w:tc>
          <w:tcPr>
            <w:tcW w:type="dxa" w:w="3360"/>
            <w:vAlign w:val="center"/>
          </w:tcPr>
          <w:p>
            <w:r/>
            <w:r>
              <w:rPr>
                <w:rFonts w:ascii="Aptos" w:hAnsi="Aptos"/>
                <w:b w:val="0"/>
                <w:sz w:val="18"/>
              </w:rPr>
              <w:t>15,32 %</w:t>
            </w:r>
          </w:p>
        </w:tc>
        <w:tc>
          <w:tcPr>
            <w:tcW w:type="dxa" w:w="3360"/>
            <w:vAlign w:val="center"/>
          </w:tcPr>
          <w:p>
            <w:r/>
            <w:r>
              <w:rPr>
                <w:rFonts w:ascii="Aptos" w:hAnsi="Aptos"/>
                <w:b w:val="0"/>
                <w:sz w:val="18"/>
              </w:rPr>
              <w:t>3,50 %</w:t>
            </w:r>
          </w:p>
        </w:tc>
      </w:tr>
    </w:tbl>
    <w:p>
      <w:pPr>
        <w:pStyle w:val="Heading1"/>
      </w:pPr>
      <w:r>
        <w:t>3. Investigación realizada</w:t>
      </w:r>
    </w:p>
    <w:p>
      <w:pPr>
        <w:pStyle w:val="Heading2"/>
      </w:pPr>
      <w:r>
        <w:t>3.1. Localización del flujo de generación demográfica</w:t>
      </w:r>
    </w:p>
    <w:p>
      <w:r>
        <w:t>Se inspeccionó el repositorio correcto:</w:t>
      </w:r>
    </w:p>
    <w:p>
      <w:pPr>
        <w:pStyle w:val="CodeBlock"/>
      </w:pPr>
      <w:r>
        <w:t>/Users/pgt01/IRYCIS/psynthea</w:t>
      </w:r>
    </w:p>
    <w:p>
      <w:r>
        <w:t>Se localizaron las referencias relevantes con:</w:t>
      </w:r>
    </w:p>
    <w:p>
      <w:pPr>
        <w:pStyle w:val="CodeBlock"/>
      </w:pPr>
      <w:r>
        <w:t>grep -RInE \</w:t>
        <w:br/>
        <w:t xml:space="preserve">  "profile\.sample|DemographicProfile|GeneratorConfig|wellness_encounters" \</w:t>
        <w:br/>
        <w:t xml:space="preserve">  src/psynthea \</w:t>
        <w:br/>
        <w:t xml:space="preserve">  --include="*.py"</w:t>
        <w:br/>
        <w:br/>
        <w:t>grep -RInE \</w:t>
        <w:br/>
        <w:t xml:space="preserve">  "Person\(|birthdate|date_of_birth|age_years|sample_age|profile" \</w:t>
        <w:br/>
        <w:t xml:space="preserve">  src/psynthea \</w:t>
        <w:br/>
        <w:t xml:space="preserve">  --include="*.py"</w:t>
      </w:r>
    </w:p>
    <w:p>
      <w:r>
        <w:t>El punto crítico se encontró en src/psynthea/engine/generator.py:</w:t>
      </w:r>
    </w:p>
    <w:p>
      <w:pPr>
        <w:pStyle w:val="CodeBlock"/>
      </w:pPr>
      <w:r>
        <w:t>if cfg.profile is not None:</w:t>
        <w:br/>
        <w:t xml:space="preserve">    age_years, gender = cfg.profile.sample(rng)</w:t>
        <w:br/>
        <w:t>else:</w:t>
        <w:br/>
        <w:t xml:space="preserve">    gender = rng.choice(["M", "F"])</w:t>
        <w:br/>
        <w:t xml:space="preserve">    age_years = rng.uniform(cfg.min_age, cfg.max_age)</w:t>
      </w:r>
    </w:p>
    <w:p>
      <w:pPr>
        <w:pStyle w:val="Heading2"/>
      </w:pPr>
      <w:r>
        <w:t>3.2. Confirmación del comportamiento de restricted_to()</w:t>
      </w:r>
    </w:p>
    <w:p>
      <w:r>
        <w:t>Se revisó DemographicProfile.restricted_to(). La función recorta cada estrato al intervalo solicitado y ajusta su peso proporcionalmente al ancho conservado:</w:t>
      </w:r>
    </w:p>
    <w:p>
      <w:pPr>
        <w:pStyle w:val="CodeBlock"/>
      </w:pPr>
      <w:r>
        <w:t>selected_min = max(stratum.min_age, lower)</w:t>
        <w:br/>
        <w:t>selected_max = min(stratum.max_age, upper)</w:t>
        <w:br/>
        <w:br/>
        <w:t>weight = (</w:t>
        <w:br/>
        <w:t xml:space="preserve">    stratum.weight</w:t>
        <w:br/>
        <w:t xml:space="preserve">    * selected_width</w:t>
        <w:br/>
        <w:t xml:space="preserve">    / original_width</w:t>
        <w:br/>
        <w:t>)</w:t>
      </w:r>
    </w:p>
    <w:p>
      <w:r>
        <w:t>Por tanto, al cargar el perfil con min_age=18 y max_age=90, Psynthea no descartaba la distribución etaria de Massachusetts. La recortaba al intervalo 18-90 y seguía muestreando de acuerdo con sus pesos. Eso explica directamente la baja presencia de pacientes de 70-90 años y la edad media de 45,84.</w:t>
      </w:r>
    </w:p>
    <w:p>
      <w:pPr>
        <w:pStyle w:val="Heading2"/>
      </w:pPr>
      <w:r>
        <w:t>3.3. Conclusión causal</w:t>
      </w:r>
    </w:p>
    <w:p>
      <w:r>
        <w:t>La causa no era un error en el perfil de Massachusetts ni una ausencia de datos demográficos. Era una diferencia de precedencia semántica:</w:t>
      </w:r>
    </w:p>
    <w:p>
      <w:pPr>
        <w:pStyle w:val="ListBullet"/>
      </w:pPr>
      <w:r>
        <w:t>Comportamiento anterior de Psynthea: perfil demográfico -&gt; recorte 18-90 -&gt; muestreo ponderado por edad.</w:t>
      </w:r>
    </w:p>
    <w:p>
      <w:pPr>
        <w:pStyle w:val="ListBullet"/>
      </w:pPr>
      <w:r>
        <w:t>Comportamiento observado como referencia en Synthea: rango explícito 18-90 -&gt; muestreo uniforme de edad dentro del rango.</w:t>
      </w:r>
    </w:p>
    <w:p>
      <w:pPr>
        <w:pStyle w:val="ListBullet"/>
      </w:pPr>
      <w:r>
        <w:t>Las distribuciones no etarias del perfil (sexo, raza, etnia, ingresos y educación) deben conservarse.</w:t>
      </w:r>
    </w:p>
    <w:p>
      <w:pPr>
        <w:pStyle w:val="Heading1"/>
      </w:pPr>
      <w:r>
        <w:t>4. Cambios implementados</w:t>
      </w:r>
    </w:p>
    <w:p>
      <w:pPr>
        <w:pStyle w:val="Heading2"/>
      </w:pPr>
      <w:r>
        <w:t>4.1. DemographicProfile: muestreo marginal de sexo</w:t>
      </w:r>
    </w:p>
    <w:p>
      <w:r>
        <w:t>Se añadió una operación para muestrear el sexo a partir de la distribución marginal del perfil sin tener que utilizar su distribución de edad. La lógica agrega los pesos de todos los estratos por sexo y realiza un muestreo ponderado.</w:t>
      </w:r>
    </w:p>
    <w:p>
      <w:pPr>
        <w:pStyle w:val="CodeBlock"/>
      </w:pPr>
      <w:r>
        <w:t>def sample_sex(self, rng) -&gt; str:</w:t>
        <w:br/>
        <w:t xml:space="preserve">    sex_weights: dict[str, float] = {}</w:t>
        <w:br/>
        <w:br/>
        <w:t xml:space="preserve">    for stratum in self.strata:</w:t>
        <w:br/>
        <w:t xml:space="preserve">        sex_weights[stratum.sex] = (</w:t>
        <w:br/>
        <w:t xml:space="preserve">            sex_weights.get(stratum.sex, 0.0)</w:t>
        <w:br/>
        <w:t xml:space="preserve">            + stratum.weight</w:t>
        <w:br/>
        <w:t xml:space="preserve">        )</w:t>
        <w:br/>
        <w:br/>
        <w:t xml:space="preserve">    return _sample_weighted(sex_weights, rng)</w:t>
      </w:r>
    </w:p>
    <w:p>
      <w:r>
        <w:t>Motivo: cuando el rango explícito reemplaza la edad del perfil, todavía debe mantenerse la distribución de sexo configurada en Massachusetts.</w:t>
      </w:r>
    </w:p>
    <w:p>
      <w:pPr>
        <w:pStyle w:val="Heading2"/>
      </w:pPr>
      <w:r>
        <w:t>4.2. CLI: carga del perfil sin recortarlo</w:t>
      </w:r>
    </w:p>
    <w:p>
      <w:r>
        <w:t>La llamada de carga del perfil dejó de pasar min_age y max_age. De esta forma, el perfil conserva su distribución original y el generador decide qué fuente tiene precedencia para la edad.</w:t>
      </w:r>
    </w:p>
    <w:p>
      <w:pPr>
        <w:pStyle w:val="CodeBlock"/>
      </w:pPr>
      <w:r>
        <w:t>profile = (</w:t>
        <w:br/>
        <w:t xml:space="preserve">    _load_profile(args.profile_file)</w:t>
        <w:br/>
        <w:t xml:space="preserve">    if args.profile_file</w:t>
        <w:br/>
        <w:t xml:space="preserve">    else None</w:t>
        <w:br/>
        <w:t>)</w:t>
      </w:r>
    </w:p>
    <w:p>
      <w:r>
        <w:t>También se hizo compatible la firma de _load_profile() con esta llamada, añadiendo valores por defecto:</w:t>
      </w:r>
    </w:p>
    <w:p>
      <w:pPr>
        <w:pStyle w:val="CodeBlock"/>
      </w:pPr>
      <w:r>
        <w:t>def _load_profile(</w:t>
        <w:br/>
        <w:t xml:space="preserve">    path: str | Path,</w:t>
        <w:br/>
        <w:t xml:space="preserve">    *,</w:t>
        <w:br/>
        <w:t xml:space="preserve">    min_age: float | None = None,</w:t>
        <w:br/>
        <w:t xml:space="preserve">    max_age: float | None = None,</w:t>
        <w:br/>
        <w:t>) -&gt; DemographicProfile:</w:t>
      </w:r>
    </w:p>
    <w:p>
      <w:pPr>
        <w:pStyle w:val="Heading2"/>
      </w:pPr>
      <w:r>
        <w:t>4.3. Generator: precedencia del rango explícito</w:t>
      </w:r>
    </w:p>
    <w:p>
      <w:r>
        <w:t>Se modificó la selección inicial de edad y sexo. Cuando existe perfil y también un rango explícito completo, la edad se muestrea uniformemente en el rango y el sexo procede del perfil. Sin rango explícito, se conserva el comportamiento habitual de profile.sample().</w:t>
      </w:r>
    </w:p>
    <w:p>
      <w:pPr>
        <w:pStyle w:val="CodeBlock"/>
      </w:pPr>
      <w:r>
        <w:t>if cfg.profile is not None:</w:t>
        <w:br/>
        <w:t xml:space="preserve">    if cfg.min_age is not None and cfg.max_age is not None:</w:t>
        <w:br/>
        <w:t xml:space="preserve">        age_years = rng.uniform(</w:t>
        <w:br/>
        <w:t xml:space="preserve">            cfg.min_age,</w:t>
        <w:br/>
        <w:t xml:space="preserve">            cfg.max_age,</w:t>
        <w:br/>
        <w:t xml:space="preserve">        )</w:t>
        <w:br/>
        <w:t xml:space="preserve">        gender = cfg.profile.sample_sex(rng)</w:t>
        <w:br/>
        <w:t xml:space="preserve">    else:</w:t>
        <w:br/>
        <w:t xml:space="preserve">        age_years, gender = cfg.profile.sample(rng)</w:t>
        <w:br/>
        <w:t>else:</w:t>
        <w:br/>
        <w:t xml:space="preserve">    gender = rng.choice(["M", "F"])</w:t>
        <w:br/>
        <w:t xml:space="preserve">    age_years = rng.uniform(</w:t>
        <w:br/>
        <w:t xml:space="preserve">        cfg.min_age,</w:t>
        <w:br/>
        <w:t xml:space="preserve">        cfg.max_age,</w:t>
        <w:br/>
        <w:t xml:space="preserve">    )</w:t>
      </w:r>
    </w:p>
    <w:p>
      <w:r>
        <w:t>La modificación se realizó en el generador y no en restricted_to(), porque restricted_to() sigue siendo una utilidad válida para otros casos de uso. El problema era la precedencia de configuración, no el algoritmo de recorte en sí.</w:t>
      </w:r>
    </w:p>
    <w:p>
      <w:pPr>
        <w:pStyle w:val="Heading2"/>
      </w:pPr>
      <w:r>
        <w:t>4.4. Incidencia corregida durante la implementación</w:t>
      </w:r>
    </w:p>
    <w:p>
      <w:r>
        <w:t>La primera ejecución posterior al cambio falló con:</w:t>
      </w:r>
    </w:p>
    <w:p>
      <w:pPr>
        <w:pStyle w:val="CodeBlock"/>
      </w:pPr>
      <w:r>
        <w:t>TypeError: _load_profile() missing 2 required keyword-only arguments: 'min_age' and 'max_age'</w:t>
      </w:r>
    </w:p>
    <w:p>
      <w:r>
        <w:t>La causa fue que la llamada ya no enviaba esos argumentos, pero la firma de _load_profile() todavía los declaraba obligatorios. Se resolvió asignando None por defecto. El error era de interfaz interna y no afectaba a la lógica demográfica.</w:t>
      </w:r>
    </w:p>
    <w:p>
      <w:pPr>
        <w:pStyle w:val="Heading1"/>
      </w:pPr>
      <w:r>
        <w:t>5. Ejecución de validación posterior</w:t>
      </w:r>
    </w:p>
    <w:p>
      <w:r>
        <w:t>Comando de generación utilizado:</w:t>
      </w:r>
    </w:p>
    <w:p>
      <w:pPr>
        <w:pStyle w:val="CodeBlock"/>
      </w:pPr>
      <w:r>
        <w:t>psynthea generate \</w:t>
        <w:br/>
        <w:t xml:space="preserve">  --population 1000 \</w:t>
        <w:br/>
        <w:t xml:space="preserve">  --seed 42 \</w:t>
        <w:br/>
        <w:t xml:space="preserve">  --module hypertension \</w:t>
        <w:br/>
        <w:t xml:space="preserve">  --modules-dir /Users/pgt01/IRYCIS/psynthea-validation/resources/synthea/modules \</w:t>
        <w:br/>
        <w:t xml:space="preserve">  --profile-file /Users/pgt01/IRYCIS/psynthea/profiles/synthea_massachusetts.json \</w:t>
        <w:br/>
        <w:t xml:space="preserve">  --min-age 18 \</w:t>
        <w:br/>
        <w:t xml:space="preserve">  --max-age 90 \</w:t>
        <w:br/>
        <w:t xml:space="preserve">  --keystone \</w:t>
        <w:br/>
        <w:t xml:space="preserve">  --wellness-encounters \</w:t>
        <w:br/>
        <w:t xml:space="preserve">  --vitals \</w:t>
        <w:br/>
        <w:t xml:space="preserve">  --mortality \</w:t>
        <w:br/>
        <w:t xml:space="preserve">  --years-of-history 10 \</w:t>
        <w:br/>
        <w:t xml:space="preserve">  --end-date 2024-12-31 \</w:t>
        <w:br/>
        <w:t xml:space="preserve">  --output /tmp/psynthea-hypertension-massachusetts</w:t>
      </w:r>
    </w:p>
    <w:p>
      <w:r>
        <w:t>Referencia Synthea utilizada en la comparación:</w:t>
      </w:r>
    </w:p>
    <w:p>
      <w:pPr>
        <w:pStyle w:val="CodeBlock"/>
      </w:pPr>
      <w:r>
        <w:t>/Users/pgt01/IRYCIS/psynthea-validation/runs/hypertension-equivalence/run-20260727T115801327308Z-a24968ddc9bc/simulators/synthea/raw/synthea/csv/patients.csv</w:t>
      </w:r>
    </w:p>
    <w:p>
      <w:pPr>
        <w:pStyle w:val="Heading1"/>
      </w:pPr>
      <w:r>
        <w:t>6. Resultados demográficos después de la corrección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rFonts w:ascii="Aptos" w:hAnsi="Aptos"/>
                <w:b/>
                <w:color w:val="FFFFFF"/>
                <w:sz w:val="18"/>
              </w:rPr>
              <w:t>Métrica</w:t>
            </w:r>
          </w:p>
        </w:tc>
        <w:tc>
          <w:tcPr>
            <w:tcW w:type="dxa" w:w="2520"/>
            <w:vAlign w:val="center"/>
            <w:shd w:fill="1F4E78"/>
          </w:tcPr>
          <w:p>
            <w:r/>
            <w:r>
              <w:rPr>
                <w:rFonts w:ascii="Aptos" w:hAnsi="Aptos"/>
                <w:b/>
                <w:color w:val="FFFFFF"/>
                <w:sz w:val="18"/>
              </w:rPr>
              <w:t>Synthea</w:t>
            </w:r>
          </w:p>
        </w:tc>
        <w:tc>
          <w:tcPr>
            <w:tcW w:type="dxa" w:w="2520"/>
            <w:vAlign w:val="center"/>
            <w:shd w:fill="1F4E78"/>
          </w:tcPr>
          <w:p>
            <w:r/>
            <w:r>
              <w:rPr>
                <w:rFonts w:ascii="Aptos" w:hAnsi="Aptos"/>
                <w:b/>
                <w:color w:val="FFFFFF"/>
                <w:sz w:val="18"/>
              </w:rPr>
              <w:t>Psynthea</w:t>
            </w:r>
          </w:p>
        </w:tc>
        <w:tc>
          <w:tcPr>
            <w:tcW w:type="dxa" w:w="2520"/>
            <w:vAlign w:val="center"/>
            <w:shd w:fill="1F4E78"/>
          </w:tcPr>
          <w:p>
            <w:r/>
            <w:r>
              <w:rPr>
                <w:rFonts w:ascii="Aptos" w:hAnsi="Aptos"/>
                <w:b/>
                <w:color w:val="FFFFFF"/>
                <w:sz w:val="18"/>
              </w:rPr>
              <w:t>Valoración</w:t>
            </w:r>
          </w:p>
        </w:tc>
      </w:tr>
      <w:tr>
        <w:tc>
          <w:tcPr>
            <w:tcW w:type="dxa" w:w="2520"/>
            <w:vAlign w:val="center"/>
          </w:tcPr>
          <w:p>
            <w:r/>
            <w:r>
              <w:rPr>
                <w:rFonts w:ascii="Aptos" w:hAnsi="Aptos"/>
                <w:b w:val="0"/>
                <w:sz w:val="18"/>
              </w:rPr>
              <w:t>Cohorte adulta</w:t>
            </w:r>
          </w:p>
        </w:tc>
        <w:tc>
          <w:tcPr>
            <w:tcW w:type="dxa" w:w="2520"/>
            <w:vAlign w:val="center"/>
          </w:tcPr>
          <w:p>
            <w:r/>
            <w:r>
              <w:rPr>
                <w:rFonts w:ascii="Aptos" w:hAnsi="Aptos"/>
                <w:b w:val="0"/>
                <w:sz w:val="18"/>
              </w:rPr>
              <w:t>999</w:t>
            </w:r>
          </w:p>
        </w:tc>
        <w:tc>
          <w:tcPr>
            <w:tcW w:type="dxa" w:w="2520"/>
            <w:vAlign w:val="center"/>
          </w:tcPr>
          <w:p>
            <w:r/>
            <w:r>
              <w:rPr>
                <w:rFonts w:ascii="Aptos" w:hAnsi="Aptos"/>
                <w:b w:val="0"/>
                <w:sz w:val="18"/>
              </w:rPr>
              <w:t>1.000</w:t>
            </w:r>
          </w:p>
        </w:tc>
        <w:tc>
          <w:tcPr>
            <w:tcW w:type="dxa" w:w="2520"/>
            <w:vAlign w:val="center"/>
          </w:tcPr>
          <w:p>
            <w:r/>
            <w:r>
              <w:rPr>
                <w:rFonts w:ascii="Aptos" w:hAnsi="Aptos"/>
                <w:b w:val="0"/>
                <w:sz w:val="18"/>
              </w:rPr>
              <w:t>Equivalente; un paciente de Synthea quedó fuera del filtro calculado</w:t>
            </w:r>
          </w:p>
        </w:tc>
      </w:tr>
      <w:tr>
        <w:tc>
          <w:tcPr>
            <w:tcW w:type="dxa" w:w="2520"/>
            <w:vAlign w:val="center"/>
          </w:tcPr>
          <w:p>
            <w:r/>
            <w:r>
              <w:rPr>
                <w:rFonts w:ascii="Aptos" w:hAnsi="Aptos"/>
                <w:b w:val="0"/>
                <w:sz w:val="18"/>
              </w:rPr>
              <w:t>Edad media</w:t>
            </w:r>
          </w:p>
        </w:tc>
        <w:tc>
          <w:tcPr>
            <w:tcW w:type="dxa" w:w="2520"/>
            <w:vAlign w:val="center"/>
          </w:tcPr>
          <w:p>
            <w:r/>
            <w:r>
              <w:rPr>
                <w:rFonts w:ascii="Aptos" w:hAnsi="Aptos"/>
                <w:b w:val="0"/>
                <w:sz w:val="18"/>
              </w:rPr>
              <w:t>53,30</w:t>
            </w:r>
          </w:p>
        </w:tc>
        <w:tc>
          <w:tcPr>
            <w:tcW w:type="dxa" w:w="2520"/>
            <w:vAlign w:val="center"/>
          </w:tcPr>
          <w:p>
            <w:r/>
            <w:r>
              <w:rPr>
                <w:rFonts w:ascii="Aptos" w:hAnsi="Aptos"/>
                <w:b w:val="0"/>
                <w:sz w:val="18"/>
              </w:rPr>
              <w:t>52,56</w:t>
            </w:r>
          </w:p>
        </w:tc>
        <w:tc>
          <w:tcPr>
            <w:tcW w:type="dxa" w:w="2520"/>
            <w:vAlign w:val="center"/>
          </w:tcPr>
          <w:p>
            <w:r/>
            <w:r>
              <w:rPr>
                <w:rFonts w:ascii="Aptos" w:hAnsi="Aptos"/>
                <w:b w:val="0"/>
                <w:sz w:val="18"/>
              </w:rPr>
              <w:t>Diferencia de 0,74 años</w:t>
            </w:r>
          </w:p>
        </w:tc>
      </w:tr>
      <w:tr>
        <w:tc>
          <w:tcPr>
            <w:tcW w:type="dxa" w:w="2520"/>
            <w:vAlign w:val="center"/>
          </w:tcPr>
          <w:p>
            <w:r/>
            <w:r>
              <w:rPr>
                <w:rFonts w:ascii="Aptos" w:hAnsi="Aptos"/>
                <w:b w:val="0"/>
                <w:sz w:val="18"/>
              </w:rPr>
              <w:t>Mediana</w:t>
            </w:r>
          </w:p>
        </w:tc>
        <w:tc>
          <w:tcPr>
            <w:tcW w:type="dxa" w:w="2520"/>
            <w:vAlign w:val="center"/>
          </w:tcPr>
          <w:p>
            <w:r/>
            <w:r>
              <w:rPr>
                <w:rFonts w:ascii="Aptos" w:hAnsi="Aptos"/>
                <w:b w:val="0"/>
                <w:sz w:val="18"/>
              </w:rPr>
              <w:t>52</w:t>
            </w:r>
          </w:p>
        </w:tc>
        <w:tc>
          <w:tcPr>
            <w:tcW w:type="dxa" w:w="2520"/>
            <w:vAlign w:val="center"/>
          </w:tcPr>
          <w:p>
            <w:r/>
            <w:r>
              <w:rPr>
                <w:rFonts w:ascii="Aptos" w:hAnsi="Aptos"/>
                <w:b w:val="0"/>
                <w:sz w:val="18"/>
              </w:rPr>
              <w:t>53</w:t>
            </w:r>
          </w:p>
        </w:tc>
        <w:tc>
          <w:tcPr>
            <w:tcW w:type="dxa" w:w="2520"/>
            <w:vAlign w:val="center"/>
          </w:tcPr>
          <w:p>
            <w:r/>
            <w:r>
              <w:rPr>
                <w:rFonts w:ascii="Aptos" w:hAnsi="Aptos"/>
                <w:b w:val="0"/>
                <w:sz w:val="18"/>
              </w:rPr>
              <w:t>Prácticamente idéntica</w:t>
            </w:r>
          </w:p>
        </w:tc>
      </w:tr>
      <w:tr>
        <w:tc>
          <w:tcPr>
            <w:tcW w:type="dxa" w:w="2520"/>
            <w:vAlign w:val="center"/>
          </w:tcPr>
          <w:p>
            <w:r/>
            <w:r>
              <w:rPr>
                <w:rFonts w:ascii="Aptos" w:hAnsi="Aptos"/>
                <w:b w:val="0"/>
                <w:sz w:val="18"/>
              </w:rPr>
              <w:t>Desviación estándar</w:t>
            </w:r>
          </w:p>
        </w:tc>
        <w:tc>
          <w:tcPr>
            <w:tcW w:type="dxa" w:w="2520"/>
            <w:vAlign w:val="center"/>
          </w:tcPr>
          <w:p>
            <w:r/>
            <w:r>
              <w:rPr>
                <w:rFonts w:ascii="Aptos" w:hAnsi="Aptos"/>
                <w:b w:val="0"/>
                <w:sz w:val="18"/>
              </w:rPr>
              <w:t>20,69</w:t>
            </w:r>
          </w:p>
        </w:tc>
        <w:tc>
          <w:tcPr>
            <w:tcW w:type="dxa" w:w="2520"/>
            <w:vAlign w:val="center"/>
          </w:tcPr>
          <w:p>
            <w:r/>
            <w:r>
              <w:rPr>
                <w:rFonts w:ascii="Aptos" w:hAnsi="Aptos"/>
                <w:b w:val="0"/>
                <w:sz w:val="18"/>
              </w:rPr>
              <w:t>20,84</w:t>
            </w:r>
          </w:p>
        </w:tc>
        <w:tc>
          <w:tcPr>
            <w:tcW w:type="dxa" w:w="2520"/>
            <w:vAlign w:val="center"/>
          </w:tcPr>
          <w:p>
            <w:r/>
            <w:r>
              <w:rPr>
                <w:rFonts w:ascii="Aptos" w:hAnsi="Aptos"/>
                <w:b w:val="0"/>
                <w:sz w:val="18"/>
              </w:rPr>
              <w:t>Prácticamente idéntica</w:t>
            </w:r>
          </w:p>
        </w:tc>
      </w:tr>
      <w:tr>
        <w:tc>
          <w:tcPr>
            <w:tcW w:type="dxa" w:w="2520"/>
            <w:vAlign w:val="center"/>
          </w:tcPr>
          <w:p>
            <w:r/>
            <w:r>
              <w:rPr>
                <w:rFonts w:ascii="Aptos" w:hAnsi="Aptos"/>
                <w:b w:val="0"/>
                <w:sz w:val="18"/>
              </w:rPr>
              <w:t>Mínimo</w:t>
            </w:r>
          </w:p>
        </w:tc>
        <w:tc>
          <w:tcPr>
            <w:tcW w:type="dxa" w:w="2520"/>
            <w:vAlign w:val="center"/>
          </w:tcPr>
          <w:p>
            <w:r/>
            <w:r>
              <w:rPr>
                <w:rFonts w:ascii="Aptos" w:hAnsi="Aptos"/>
                <w:b w:val="0"/>
                <w:sz w:val="18"/>
              </w:rPr>
              <w:t>18</w:t>
            </w:r>
          </w:p>
        </w:tc>
        <w:tc>
          <w:tcPr>
            <w:tcW w:type="dxa" w:w="2520"/>
            <w:vAlign w:val="center"/>
          </w:tcPr>
          <w:p>
            <w:r/>
            <w:r>
              <w:rPr>
                <w:rFonts w:ascii="Aptos" w:hAnsi="Aptos"/>
                <w:b w:val="0"/>
                <w:sz w:val="18"/>
              </w:rPr>
              <w:t>18</w:t>
            </w:r>
          </w:p>
        </w:tc>
        <w:tc>
          <w:tcPr>
            <w:tcW w:type="dxa" w:w="2520"/>
            <w:vAlign w:val="center"/>
          </w:tcPr>
          <w:p>
            <w:r/>
            <w:r>
              <w:rPr>
                <w:rFonts w:ascii="Aptos" w:hAnsi="Aptos"/>
                <w:b w:val="0"/>
                <w:sz w:val="18"/>
              </w:rPr>
              <w:t>Idéntico</w:t>
            </w:r>
          </w:p>
        </w:tc>
      </w:tr>
      <w:tr>
        <w:tc>
          <w:tcPr>
            <w:tcW w:type="dxa" w:w="2520"/>
            <w:vAlign w:val="center"/>
          </w:tcPr>
          <w:p>
            <w:r/>
            <w:r>
              <w:rPr>
                <w:rFonts w:ascii="Aptos" w:hAnsi="Aptos"/>
                <w:b w:val="0"/>
                <w:sz w:val="18"/>
              </w:rPr>
              <w:t>Máximo</w:t>
            </w:r>
          </w:p>
        </w:tc>
        <w:tc>
          <w:tcPr>
            <w:tcW w:type="dxa" w:w="2520"/>
            <w:vAlign w:val="center"/>
          </w:tcPr>
          <w:p>
            <w:r/>
            <w:r>
              <w:rPr>
                <w:rFonts w:ascii="Aptos" w:hAnsi="Aptos"/>
                <w:b w:val="0"/>
                <w:sz w:val="18"/>
              </w:rPr>
              <w:t>89</w:t>
            </w:r>
          </w:p>
        </w:tc>
        <w:tc>
          <w:tcPr>
            <w:tcW w:type="dxa" w:w="2520"/>
            <w:vAlign w:val="center"/>
          </w:tcPr>
          <w:p>
            <w:r/>
            <w:r>
              <w:rPr>
                <w:rFonts w:ascii="Aptos" w:hAnsi="Aptos"/>
                <w:b w:val="0"/>
                <w:sz w:val="18"/>
              </w:rPr>
              <w:t>89</w:t>
            </w:r>
          </w:p>
        </w:tc>
        <w:tc>
          <w:tcPr>
            <w:tcW w:type="dxa" w:w="2520"/>
            <w:vAlign w:val="center"/>
          </w:tcPr>
          <w:p>
            <w:r/>
            <w:r>
              <w:rPr>
                <w:rFonts w:ascii="Aptos" w:hAnsi="Aptos"/>
                <w:b w:val="0"/>
                <w:sz w:val="18"/>
              </w:rPr>
              <w:t>Idéntico</w:t>
            </w:r>
          </w:p>
        </w:tc>
      </w:tr>
    </w:tbl>
    <w:p>
      <w:pPr>
        <w:pStyle w:val="Heading2"/>
      </w:pPr>
      <w:r>
        <w:t>6.1. Distribución por bandas de edad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rFonts w:ascii="Aptos" w:hAnsi="Aptos"/>
                <w:b/>
                <w:color w:val="FFFFFF"/>
                <w:sz w:val="18"/>
              </w:rPr>
              <w:t>Banda</w:t>
            </w:r>
          </w:p>
        </w:tc>
        <w:tc>
          <w:tcPr>
            <w:tcW w:type="dxa" w:w="2520"/>
            <w:vAlign w:val="center"/>
            <w:shd w:fill="1F4E78"/>
          </w:tcPr>
          <w:p>
            <w:r/>
            <w:r>
              <w:rPr>
                <w:rFonts w:ascii="Aptos" w:hAnsi="Aptos"/>
                <w:b/>
                <w:color w:val="FFFFFF"/>
                <w:sz w:val="18"/>
              </w:rPr>
              <w:t>Synthea</w:t>
            </w:r>
          </w:p>
        </w:tc>
        <w:tc>
          <w:tcPr>
            <w:tcW w:type="dxa" w:w="2520"/>
            <w:vAlign w:val="center"/>
            <w:shd w:fill="1F4E78"/>
          </w:tcPr>
          <w:p>
            <w:r/>
            <w:r>
              <w:rPr>
                <w:rFonts w:ascii="Aptos" w:hAnsi="Aptos"/>
                <w:b/>
                <w:color w:val="FFFFFF"/>
                <w:sz w:val="18"/>
              </w:rPr>
              <w:t>Psynthea</w:t>
            </w:r>
          </w:p>
        </w:tc>
        <w:tc>
          <w:tcPr>
            <w:tcW w:type="dxa" w:w="2520"/>
            <w:vAlign w:val="center"/>
            <w:shd w:fill="1F4E78"/>
          </w:tcPr>
          <w:p>
            <w:r/>
            <w:r>
              <w:rPr>
                <w:rFonts w:ascii="Aptos" w:hAnsi="Aptos"/>
                <w:b/>
                <w:color w:val="FFFFFF"/>
                <w:sz w:val="18"/>
              </w:rPr>
              <w:t>Diferencia (pp)</w:t>
            </w:r>
          </w:p>
        </w:tc>
      </w:tr>
      <w:tr>
        <w:tc>
          <w:tcPr>
            <w:tcW w:type="dxa" w:w="2520"/>
            <w:vAlign w:val="center"/>
          </w:tcPr>
          <w:p>
            <w:r/>
            <w:r>
              <w:rPr>
                <w:rFonts w:ascii="Aptos" w:hAnsi="Aptos"/>
                <w:b w:val="0"/>
                <w:sz w:val="18"/>
              </w:rPr>
              <w:t>18-29</w:t>
            </w:r>
          </w:p>
        </w:tc>
        <w:tc>
          <w:tcPr>
            <w:tcW w:type="dxa" w:w="2520"/>
            <w:vAlign w:val="center"/>
          </w:tcPr>
          <w:p>
            <w:r/>
            <w:r>
              <w:rPr>
                <w:rFonts w:ascii="Aptos" w:hAnsi="Aptos"/>
                <w:b w:val="0"/>
                <w:sz w:val="18"/>
              </w:rPr>
              <w:t>15,62 %</w:t>
            </w:r>
          </w:p>
        </w:tc>
        <w:tc>
          <w:tcPr>
            <w:tcW w:type="dxa" w:w="2520"/>
            <w:vAlign w:val="center"/>
          </w:tcPr>
          <w:p>
            <w:r/>
            <w:r>
              <w:rPr>
                <w:rFonts w:ascii="Aptos" w:hAnsi="Aptos"/>
                <w:b w:val="0"/>
                <w:sz w:val="18"/>
              </w:rPr>
              <w:t>18,50 %</w:t>
            </w:r>
          </w:p>
        </w:tc>
        <w:tc>
          <w:tcPr>
            <w:tcW w:type="dxa" w:w="2520"/>
            <w:vAlign w:val="center"/>
          </w:tcPr>
          <w:p>
            <w:r/>
            <w:r>
              <w:rPr>
                <w:rFonts w:ascii="Aptos" w:hAnsi="Aptos"/>
                <w:b w:val="0"/>
                <w:sz w:val="18"/>
              </w:rPr>
              <w:t>+2,88</w:t>
            </w:r>
          </w:p>
        </w:tc>
      </w:tr>
      <w:tr>
        <w:tc>
          <w:tcPr>
            <w:tcW w:type="dxa" w:w="2520"/>
            <w:vAlign w:val="center"/>
          </w:tcPr>
          <w:p>
            <w:r/>
            <w:r>
              <w:rPr>
                <w:rFonts w:ascii="Aptos" w:hAnsi="Aptos"/>
                <w:b w:val="0"/>
                <w:sz w:val="18"/>
              </w:rPr>
              <w:t>30-39</w:t>
            </w:r>
          </w:p>
        </w:tc>
        <w:tc>
          <w:tcPr>
            <w:tcW w:type="dxa" w:w="2520"/>
            <w:vAlign w:val="center"/>
          </w:tcPr>
          <w:p>
            <w:r/>
            <w:r>
              <w:rPr>
                <w:rFonts w:ascii="Aptos" w:hAnsi="Aptos"/>
                <w:b w:val="0"/>
                <w:sz w:val="18"/>
              </w:rPr>
              <w:t>15,92 %</w:t>
            </w:r>
          </w:p>
        </w:tc>
        <w:tc>
          <w:tcPr>
            <w:tcW w:type="dxa" w:w="2520"/>
            <w:vAlign w:val="center"/>
          </w:tcPr>
          <w:p>
            <w:r/>
            <w:r>
              <w:rPr>
                <w:rFonts w:ascii="Aptos" w:hAnsi="Aptos"/>
                <w:b w:val="0"/>
                <w:sz w:val="18"/>
              </w:rPr>
              <w:t>15,10 %</w:t>
            </w:r>
          </w:p>
        </w:tc>
        <w:tc>
          <w:tcPr>
            <w:tcW w:type="dxa" w:w="2520"/>
            <w:vAlign w:val="center"/>
          </w:tcPr>
          <w:p>
            <w:r/>
            <w:r>
              <w:rPr>
                <w:rFonts w:ascii="Aptos" w:hAnsi="Aptos"/>
                <w:b w:val="0"/>
                <w:sz w:val="18"/>
              </w:rPr>
              <w:t>-0,82</w:t>
            </w:r>
          </w:p>
        </w:tc>
      </w:tr>
      <w:tr>
        <w:tc>
          <w:tcPr>
            <w:tcW w:type="dxa" w:w="2520"/>
            <w:vAlign w:val="center"/>
          </w:tcPr>
          <w:p>
            <w:r/>
            <w:r>
              <w:rPr>
                <w:rFonts w:ascii="Aptos" w:hAnsi="Aptos"/>
                <w:b w:val="0"/>
                <w:sz w:val="18"/>
              </w:rPr>
              <w:t>40-49</w:t>
            </w:r>
          </w:p>
        </w:tc>
        <w:tc>
          <w:tcPr>
            <w:tcW w:type="dxa" w:w="2520"/>
            <w:vAlign w:val="center"/>
          </w:tcPr>
          <w:p>
            <w:r/>
            <w:r>
              <w:rPr>
                <w:rFonts w:ascii="Aptos" w:hAnsi="Aptos"/>
                <w:b w:val="0"/>
                <w:sz w:val="18"/>
              </w:rPr>
              <w:t>14,41 %</w:t>
            </w:r>
          </w:p>
        </w:tc>
        <w:tc>
          <w:tcPr>
            <w:tcW w:type="dxa" w:w="2520"/>
            <w:vAlign w:val="center"/>
          </w:tcPr>
          <w:p>
            <w:r/>
            <w:r>
              <w:rPr>
                <w:rFonts w:ascii="Aptos" w:hAnsi="Aptos"/>
                <w:b w:val="0"/>
                <w:sz w:val="18"/>
              </w:rPr>
              <w:t>12,20 %</w:t>
            </w:r>
          </w:p>
        </w:tc>
        <w:tc>
          <w:tcPr>
            <w:tcW w:type="dxa" w:w="2520"/>
            <w:vAlign w:val="center"/>
          </w:tcPr>
          <w:p>
            <w:r/>
            <w:r>
              <w:rPr>
                <w:rFonts w:ascii="Aptos" w:hAnsi="Aptos"/>
                <w:b w:val="0"/>
                <w:sz w:val="18"/>
              </w:rPr>
              <w:t>-2,21</w:t>
            </w:r>
          </w:p>
        </w:tc>
      </w:tr>
      <w:tr>
        <w:tc>
          <w:tcPr>
            <w:tcW w:type="dxa" w:w="2520"/>
            <w:vAlign w:val="center"/>
          </w:tcPr>
          <w:p>
            <w:r/>
            <w:r>
              <w:rPr>
                <w:rFonts w:ascii="Aptos" w:hAnsi="Aptos"/>
                <w:b w:val="0"/>
                <w:sz w:val="18"/>
              </w:rPr>
              <w:t>50-59</w:t>
            </w:r>
          </w:p>
        </w:tc>
        <w:tc>
          <w:tcPr>
            <w:tcW w:type="dxa" w:w="2520"/>
            <w:vAlign w:val="center"/>
          </w:tcPr>
          <w:p>
            <w:r/>
            <w:r>
              <w:rPr>
                <w:rFonts w:ascii="Aptos" w:hAnsi="Aptos"/>
                <w:b w:val="0"/>
                <w:sz w:val="18"/>
              </w:rPr>
              <w:t>14,41 %</w:t>
            </w:r>
          </w:p>
        </w:tc>
        <w:tc>
          <w:tcPr>
            <w:tcW w:type="dxa" w:w="2520"/>
            <w:vAlign w:val="center"/>
          </w:tcPr>
          <w:p>
            <w:r/>
            <w:r>
              <w:rPr>
                <w:rFonts w:ascii="Aptos" w:hAnsi="Aptos"/>
                <w:b w:val="0"/>
                <w:sz w:val="18"/>
              </w:rPr>
              <w:t>13,60 %</w:t>
            </w:r>
          </w:p>
        </w:tc>
        <w:tc>
          <w:tcPr>
            <w:tcW w:type="dxa" w:w="2520"/>
            <w:vAlign w:val="center"/>
          </w:tcPr>
          <w:p>
            <w:r/>
            <w:r>
              <w:rPr>
                <w:rFonts w:ascii="Aptos" w:hAnsi="Aptos"/>
                <w:b w:val="0"/>
                <w:sz w:val="18"/>
              </w:rPr>
              <w:t>-0,81</w:t>
            </w:r>
          </w:p>
        </w:tc>
      </w:tr>
      <w:tr>
        <w:tc>
          <w:tcPr>
            <w:tcW w:type="dxa" w:w="2520"/>
            <w:vAlign w:val="center"/>
          </w:tcPr>
          <w:p>
            <w:r/>
            <w:r>
              <w:rPr>
                <w:rFonts w:ascii="Aptos" w:hAnsi="Aptos"/>
                <w:b w:val="0"/>
                <w:sz w:val="18"/>
              </w:rPr>
              <w:t>60-69</w:t>
            </w:r>
          </w:p>
        </w:tc>
        <w:tc>
          <w:tcPr>
            <w:tcW w:type="dxa" w:w="2520"/>
            <w:vAlign w:val="center"/>
          </w:tcPr>
          <w:p>
            <w:r/>
            <w:r>
              <w:rPr>
                <w:rFonts w:ascii="Aptos" w:hAnsi="Aptos"/>
                <w:b w:val="0"/>
                <w:sz w:val="18"/>
              </w:rPr>
              <w:t>12,71 %</w:t>
            </w:r>
          </w:p>
        </w:tc>
        <w:tc>
          <w:tcPr>
            <w:tcW w:type="dxa" w:w="2520"/>
            <w:vAlign w:val="center"/>
          </w:tcPr>
          <w:p>
            <w:r/>
            <w:r>
              <w:rPr>
                <w:rFonts w:ascii="Aptos" w:hAnsi="Aptos"/>
                <w:b w:val="0"/>
                <w:sz w:val="18"/>
              </w:rPr>
              <w:t>13,20 %</w:t>
            </w:r>
          </w:p>
        </w:tc>
        <w:tc>
          <w:tcPr>
            <w:tcW w:type="dxa" w:w="2520"/>
            <w:vAlign w:val="center"/>
          </w:tcPr>
          <w:p>
            <w:r/>
            <w:r>
              <w:rPr>
                <w:rFonts w:ascii="Aptos" w:hAnsi="Aptos"/>
                <w:b w:val="0"/>
                <w:sz w:val="18"/>
              </w:rPr>
              <w:t>+0,49</w:t>
            </w:r>
          </w:p>
        </w:tc>
      </w:tr>
      <w:tr>
        <w:tc>
          <w:tcPr>
            <w:tcW w:type="dxa" w:w="2520"/>
            <w:vAlign w:val="center"/>
          </w:tcPr>
          <w:p>
            <w:r/>
            <w:r>
              <w:rPr>
                <w:rFonts w:ascii="Aptos" w:hAnsi="Aptos"/>
                <w:b w:val="0"/>
                <w:sz w:val="18"/>
              </w:rPr>
              <w:t>70-79</w:t>
            </w:r>
          </w:p>
        </w:tc>
        <w:tc>
          <w:tcPr>
            <w:tcW w:type="dxa" w:w="2520"/>
            <w:vAlign w:val="center"/>
          </w:tcPr>
          <w:p>
            <w:r/>
            <w:r>
              <w:rPr>
                <w:rFonts w:ascii="Aptos" w:hAnsi="Aptos"/>
                <w:b w:val="0"/>
                <w:sz w:val="18"/>
              </w:rPr>
              <w:t>11,61 %</w:t>
            </w:r>
          </w:p>
        </w:tc>
        <w:tc>
          <w:tcPr>
            <w:tcW w:type="dxa" w:w="2520"/>
            <w:vAlign w:val="center"/>
          </w:tcPr>
          <w:p>
            <w:r/>
            <w:r>
              <w:rPr>
                <w:rFonts w:ascii="Aptos" w:hAnsi="Aptos"/>
                <w:b w:val="0"/>
                <w:sz w:val="18"/>
              </w:rPr>
              <w:t>14,80 %</w:t>
            </w:r>
          </w:p>
        </w:tc>
        <w:tc>
          <w:tcPr>
            <w:tcW w:type="dxa" w:w="2520"/>
            <w:vAlign w:val="center"/>
          </w:tcPr>
          <w:p>
            <w:r/>
            <w:r>
              <w:rPr>
                <w:rFonts w:ascii="Aptos" w:hAnsi="Aptos"/>
                <w:b w:val="0"/>
                <w:sz w:val="18"/>
              </w:rPr>
              <w:t>+3,19</w:t>
            </w:r>
          </w:p>
        </w:tc>
      </w:tr>
      <w:tr>
        <w:tc>
          <w:tcPr>
            <w:tcW w:type="dxa" w:w="2520"/>
            <w:vAlign w:val="center"/>
          </w:tcPr>
          <w:p>
            <w:r/>
            <w:r>
              <w:rPr>
                <w:rFonts w:ascii="Aptos" w:hAnsi="Aptos"/>
                <w:b w:val="0"/>
                <w:sz w:val="18"/>
              </w:rPr>
              <w:t>80-90</w:t>
            </w:r>
          </w:p>
        </w:tc>
        <w:tc>
          <w:tcPr>
            <w:tcW w:type="dxa" w:w="2520"/>
            <w:vAlign w:val="center"/>
          </w:tcPr>
          <w:p>
            <w:r/>
            <w:r>
              <w:rPr>
                <w:rFonts w:ascii="Aptos" w:hAnsi="Aptos"/>
                <w:b w:val="0"/>
                <w:sz w:val="18"/>
              </w:rPr>
              <w:t>15,32 %</w:t>
            </w:r>
          </w:p>
        </w:tc>
        <w:tc>
          <w:tcPr>
            <w:tcW w:type="dxa" w:w="2520"/>
            <w:vAlign w:val="center"/>
          </w:tcPr>
          <w:p>
            <w:r/>
            <w:r>
              <w:rPr>
                <w:rFonts w:ascii="Aptos" w:hAnsi="Aptos"/>
                <w:b w:val="0"/>
                <w:sz w:val="18"/>
              </w:rPr>
              <w:t>12,60 %</w:t>
            </w:r>
          </w:p>
        </w:tc>
        <w:tc>
          <w:tcPr>
            <w:tcW w:type="dxa" w:w="2520"/>
            <w:vAlign w:val="center"/>
          </w:tcPr>
          <w:p>
            <w:r/>
            <w:r>
              <w:rPr>
                <w:rFonts w:ascii="Aptos" w:hAnsi="Aptos"/>
                <w:b w:val="0"/>
                <w:sz w:val="18"/>
              </w:rPr>
              <w:t>-2,72</w:t>
            </w:r>
          </w:p>
        </w:tc>
      </w:tr>
    </w:tbl>
    <w:p>
      <w:r>
        <w:t>Las diferencias por banda son compatibles con variación estocástica para una cohorte de 1.000 sujetos. La señal más importante es la desaparición del sesgo estructural hacia edades jóvenes.</w:t>
      </w:r>
    </w:p>
    <w:p>
      <w:pPr>
        <w:pStyle w:val="Heading2"/>
      </w:pPr>
      <w:r>
        <w:t>6.2. Sexo, raza y etnia de Psynthea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rFonts w:ascii="Aptos" w:hAnsi="Aptos"/>
                <w:b/>
                <w:color w:val="FFFFFF"/>
                <w:sz w:val="18"/>
              </w:rPr>
              <w:t>Dimensión</w:t>
            </w:r>
          </w:p>
        </w:tc>
        <w:tc>
          <w:tcPr>
            <w:tcW w:type="dxa" w:w="3360"/>
            <w:vAlign w:val="center"/>
            <w:shd w:fill="1F4E78"/>
          </w:tcPr>
          <w:p>
            <w:r/>
            <w:r>
              <w:rPr>
                <w:rFonts w:ascii="Aptos" w:hAnsi="Aptos"/>
                <w:b/>
                <w:color w:val="FFFFFF"/>
                <w:sz w:val="18"/>
              </w:rPr>
              <w:t>Categoría</w:t>
            </w:r>
          </w:p>
        </w:tc>
        <w:tc>
          <w:tcPr>
            <w:tcW w:type="dxa" w:w="3360"/>
            <w:vAlign w:val="center"/>
            <w:shd w:fill="1F4E78"/>
          </w:tcPr>
          <w:p>
            <w:r/>
            <w:r>
              <w:rPr>
                <w:rFonts w:ascii="Aptos" w:hAnsi="Aptos"/>
                <w:b/>
                <w:color w:val="FFFFFF"/>
                <w:sz w:val="18"/>
              </w:rPr>
              <w:t>Porcentaje</w:t>
            </w:r>
          </w:p>
        </w:tc>
      </w:tr>
      <w:tr>
        <w:tc>
          <w:tcPr>
            <w:tcW w:type="dxa" w:w="3360"/>
            <w:vAlign w:val="center"/>
          </w:tcPr>
          <w:p>
            <w:r/>
            <w:r>
              <w:rPr>
                <w:rFonts w:ascii="Aptos" w:hAnsi="Aptos"/>
                <w:b w:val="0"/>
                <w:sz w:val="18"/>
              </w:rPr>
              <w:t>Sexo</w:t>
            </w:r>
          </w:p>
        </w:tc>
        <w:tc>
          <w:tcPr>
            <w:tcW w:type="dxa" w:w="3360"/>
            <w:vAlign w:val="center"/>
          </w:tcPr>
          <w:p>
            <w:r/>
            <w:r>
              <w:rPr>
                <w:rFonts w:ascii="Aptos" w:hAnsi="Aptos"/>
                <w:b w:val="0"/>
                <w:sz w:val="18"/>
              </w:rPr>
              <w:t>F</w:t>
            </w:r>
          </w:p>
        </w:tc>
        <w:tc>
          <w:tcPr>
            <w:tcW w:type="dxa" w:w="3360"/>
            <w:vAlign w:val="center"/>
          </w:tcPr>
          <w:p>
            <w:r/>
            <w:r>
              <w:rPr>
                <w:rFonts w:ascii="Aptos" w:hAnsi="Aptos"/>
                <w:b w:val="0"/>
                <w:sz w:val="18"/>
              </w:rPr>
              <w:t>51,3 %</w:t>
            </w:r>
          </w:p>
        </w:tc>
      </w:tr>
      <w:tr>
        <w:tc>
          <w:tcPr>
            <w:tcW w:type="dxa" w:w="3360"/>
            <w:vAlign w:val="center"/>
          </w:tcPr>
          <w:p>
            <w:r/>
            <w:r>
              <w:rPr>
                <w:rFonts w:ascii="Aptos" w:hAnsi="Aptos"/>
                <w:b w:val="0"/>
                <w:sz w:val="18"/>
              </w:rPr>
              <w:t>Sexo</w:t>
            </w:r>
          </w:p>
        </w:tc>
        <w:tc>
          <w:tcPr>
            <w:tcW w:type="dxa" w:w="3360"/>
            <w:vAlign w:val="center"/>
          </w:tcPr>
          <w:p>
            <w:r/>
            <w:r>
              <w:rPr>
                <w:rFonts w:ascii="Aptos" w:hAnsi="Aptos"/>
                <w:b w:val="0"/>
                <w:sz w:val="18"/>
              </w:rPr>
              <w:t>M</w:t>
            </w:r>
          </w:p>
        </w:tc>
        <w:tc>
          <w:tcPr>
            <w:tcW w:type="dxa" w:w="3360"/>
            <w:vAlign w:val="center"/>
          </w:tcPr>
          <w:p>
            <w:r/>
            <w:r>
              <w:rPr>
                <w:rFonts w:ascii="Aptos" w:hAnsi="Aptos"/>
                <w:b w:val="0"/>
                <w:sz w:val="18"/>
              </w:rPr>
              <w:t>48,7 %</w:t>
            </w:r>
          </w:p>
        </w:tc>
      </w:tr>
      <w:tr>
        <w:tc>
          <w:tcPr>
            <w:tcW w:type="dxa" w:w="3360"/>
            <w:vAlign w:val="center"/>
          </w:tcPr>
          <w:p>
            <w:r/>
            <w:r>
              <w:rPr>
                <w:rFonts w:ascii="Aptos" w:hAnsi="Aptos"/>
                <w:b w:val="0"/>
                <w:sz w:val="18"/>
              </w:rPr>
              <w:t>Raza</w:t>
            </w:r>
          </w:p>
        </w:tc>
        <w:tc>
          <w:tcPr>
            <w:tcW w:type="dxa" w:w="3360"/>
            <w:vAlign w:val="center"/>
          </w:tcPr>
          <w:p>
            <w:r/>
            <w:r>
              <w:rPr>
                <w:rFonts w:ascii="Aptos" w:hAnsi="Aptos"/>
                <w:b w:val="0"/>
                <w:sz w:val="18"/>
              </w:rPr>
              <w:t>white</w:t>
            </w:r>
          </w:p>
        </w:tc>
        <w:tc>
          <w:tcPr>
            <w:tcW w:type="dxa" w:w="3360"/>
            <w:vAlign w:val="center"/>
          </w:tcPr>
          <w:p>
            <w:r/>
            <w:r>
              <w:rPr>
                <w:rFonts w:ascii="Aptos" w:hAnsi="Aptos"/>
                <w:b w:val="0"/>
                <w:sz w:val="18"/>
              </w:rPr>
              <w:t>84,9 %</w:t>
            </w:r>
          </w:p>
        </w:tc>
      </w:tr>
      <w:tr>
        <w:tc>
          <w:tcPr>
            <w:tcW w:type="dxa" w:w="3360"/>
            <w:vAlign w:val="center"/>
          </w:tcPr>
          <w:p>
            <w:r/>
            <w:r>
              <w:rPr>
                <w:rFonts w:ascii="Aptos" w:hAnsi="Aptos"/>
                <w:b w:val="0"/>
                <w:sz w:val="18"/>
              </w:rPr>
              <w:t>Raza</w:t>
            </w:r>
          </w:p>
        </w:tc>
        <w:tc>
          <w:tcPr>
            <w:tcW w:type="dxa" w:w="3360"/>
            <w:vAlign w:val="center"/>
          </w:tcPr>
          <w:p>
            <w:r/>
            <w:r>
              <w:rPr>
                <w:rFonts w:ascii="Aptos" w:hAnsi="Aptos"/>
                <w:b w:val="0"/>
                <w:sz w:val="18"/>
              </w:rPr>
              <w:t>black</w:t>
            </w:r>
          </w:p>
        </w:tc>
        <w:tc>
          <w:tcPr>
            <w:tcW w:type="dxa" w:w="3360"/>
            <w:vAlign w:val="center"/>
          </w:tcPr>
          <w:p>
            <w:r/>
            <w:r>
              <w:rPr>
                <w:rFonts w:ascii="Aptos" w:hAnsi="Aptos"/>
                <w:b w:val="0"/>
                <w:sz w:val="18"/>
              </w:rPr>
              <w:t>7,6 %</w:t>
            </w:r>
          </w:p>
        </w:tc>
      </w:tr>
      <w:tr>
        <w:tc>
          <w:tcPr>
            <w:tcW w:type="dxa" w:w="3360"/>
            <w:vAlign w:val="center"/>
          </w:tcPr>
          <w:p>
            <w:r/>
            <w:r>
              <w:rPr>
                <w:rFonts w:ascii="Aptos" w:hAnsi="Aptos"/>
                <w:b w:val="0"/>
                <w:sz w:val="18"/>
              </w:rPr>
              <w:t>Raza</w:t>
            </w:r>
          </w:p>
        </w:tc>
        <w:tc>
          <w:tcPr>
            <w:tcW w:type="dxa" w:w="3360"/>
            <w:vAlign w:val="center"/>
          </w:tcPr>
          <w:p>
            <w:r/>
            <w:r>
              <w:rPr>
                <w:rFonts w:ascii="Aptos" w:hAnsi="Aptos"/>
                <w:b w:val="0"/>
                <w:sz w:val="18"/>
              </w:rPr>
              <w:t>asian</w:t>
            </w:r>
          </w:p>
        </w:tc>
        <w:tc>
          <w:tcPr>
            <w:tcW w:type="dxa" w:w="3360"/>
            <w:vAlign w:val="center"/>
          </w:tcPr>
          <w:p>
            <w:r/>
            <w:r>
              <w:rPr>
                <w:rFonts w:ascii="Aptos" w:hAnsi="Aptos"/>
                <w:b w:val="0"/>
                <w:sz w:val="18"/>
              </w:rPr>
              <w:t>6,5 %</w:t>
            </w:r>
          </w:p>
        </w:tc>
      </w:tr>
      <w:tr>
        <w:tc>
          <w:tcPr>
            <w:tcW w:type="dxa" w:w="3360"/>
            <w:vAlign w:val="center"/>
          </w:tcPr>
          <w:p>
            <w:r/>
            <w:r>
              <w:rPr>
                <w:rFonts w:ascii="Aptos" w:hAnsi="Aptos"/>
                <w:b w:val="0"/>
                <w:sz w:val="18"/>
              </w:rPr>
              <w:t>Raza</w:t>
            </w:r>
          </w:p>
        </w:tc>
        <w:tc>
          <w:tcPr>
            <w:tcW w:type="dxa" w:w="3360"/>
            <w:vAlign w:val="center"/>
          </w:tcPr>
          <w:p>
            <w:r/>
            <w:r>
              <w:rPr>
                <w:rFonts w:ascii="Aptos" w:hAnsi="Aptos"/>
                <w:b w:val="0"/>
                <w:sz w:val="18"/>
              </w:rPr>
              <w:t>native</w:t>
            </w:r>
          </w:p>
        </w:tc>
        <w:tc>
          <w:tcPr>
            <w:tcW w:type="dxa" w:w="3360"/>
            <w:vAlign w:val="center"/>
          </w:tcPr>
          <w:p>
            <w:r/>
            <w:r>
              <w:rPr>
                <w:rFonts w:ascii="Aptos" w:hAnsi="Aptos"/>
                <w:b w:val="0"/>
                <w:sz w:val="18"/>
              </w:rPr>
              <w:t>0,8 %</w:t>
            </w:r>
          </w:p>
        </w:tc>
      </w:tr>
      <w:tr>
        <w:tc>
          <w:tcPr>
            <w:tcW w:type="dxa" w:w="3360"/>
            <w:vAlign w:val="center"/>
          </w:tcPr>
          <w:p>
            <w:r/>
            <w:r>
              <w:rPr>
                <w:rFonts w:ascii="Aptos" w:hAnsi="Aptos"/>
                <w:b w:val="0"/>
                <w:sz w:val="18"/>
              </w:rPr>
              <w:t>Raza</w:t>
            </w:r>
          </w:p>
        </w:tc>
        <w:tc>
          <w:tcPr>
            <w:tcW w:type="dxa" w:w="3360"/>
            <w:vAlign w:val="center"/>
          </w:tcPr>
          <w:p>
            <w:r/>
            <w:r>
              <w:rPr>
                <w:rFonts w:ascii="Aptos" w:hAnsi="Aptos"/>
                <w:b w:val="0"/>
                <w:sz w:val="18"/>
              </w:rPr>
              <w:t>other</w:t>
            </w:r>
          </w:p>
        </w:tc>
        <w:tc>
          <w:tcPr>
            <w:tcW w:type="dxa" w:w="3360"/>
            <w:vAlign w:val="center"/>
          </w:tcPr>
          <w:p>
            <w:r/>
            <w:r>
              <w:rPr>
                <w:rFonts w:ascii="Aptos" w:hAnsi="Aptos"/>
                <w:b w:val="0"/>
                <w:sz w:val="18"/>
              </w:rPr>
              <w:t>0,2 %</w:t>
            </w:r>
          </w:p>
        </w:tc>
      </w:tr>
      <w:tr>
        <w:tc>
          <w:tcPr>
            <w:tcW w:type="dxa" w:w="3360"/>
            <w:vAlign w:val="center"/>
          </w:tcPr>
          <w:p>
            <w:r/>
            <w:r>
              <w:rPr>
                <w:rFonts w:ascii="Aptos" w:hAnsi="Aptos"/>
                <w:b w:val="0"/>
                <w:sz w:val="18"/>
              </w:rPr>
              <w:t>Etnia</w:t>
            </w:r>
          </w:p>
        </w:tc>
        <w:tc>
          <w:tcPr>
            <w:tcW w:type="dxa" w:w="3360"/>
            <w:vAlign w:val="center"/>
          </w:tcPr>
          <w:p>
            <w:r/>
            <w:r>
              <w:rPr>
                <w:rFonts w:ascii="Aptos" w:hAnsi="Aptos"/>
                <w:b w:val="0"/>
                <w:sz w:val="18"/>
              </w:rPr>
              <w:t>hispanic</w:t>
            </w:r>
          </w:p>
        </w:tc>
        <w:tc>
          <w:tcPr>
            <w:tcW w:type="dxa" w:w="3360"/>
            <w:vAlign w:val="center"/>
          </w:tcPr>
          <w:p>
            <w:r/>
            <w:r>
              <w:rPr>
                <w:rFonts w:ascii="Aptos" w:hAnsi="Aptos"/>
                <w:b w:val="0"/>
                <w:sz w:val="18"/>
              </w:rPr>
              <w:t>9,9 %</w:t>
            </w:r>
          </w:p>
        </w:tc>
      </w:tr>
      <w:tr>
        <w:tc>
          <w:tcPr>
            <w:tcW w:type="dxa" w:w="3360"/>
            <w:vAlign w:val="center"/>
          </w:tcPr>
          <w:p>
            <w:r/>
            <w:r>
              <w:rPr>
                <w:rFonts w:ascii="Aptos" w:hAnsi="Aptos"/>
                <w:b w:val="0"/>
                <w:sz w:val="18"/>
              </w:rPr>
              <w:t>Etnia</w:t>
            </w:r>
          </w:p>
        </w:tc>
        <w:tc>
          <w:tcPr>
            <w:tcW w:type="dxa" w:w="3360"/>
            <w:vAlign w:val="center"/>
          </w:tcPr>
          <w:p>
            <w:r/>
            <w:r>
              <w:rPr>
                <w:rFonts w:ascii="Aptos" w:hAnsi="Aptos"/>
                <w:b w:val="0"/>
                <w:sz w:val="18"/>
              </w:rPr>
              <w:t>nonhispanic</w:t>
            </w:r>
          </w:p>
        </w:tc>
        <w:tc>
          <w:tcPr>
            <w:tcW w:type="dxa" w:w="3360"/>
            <w:vAlign w:val="center"/>
          </w:tcPr>
          <w:p>
            <w:r/>
            <w:r>
              <w:rPr>
                <w:rFonts w:ascii="Aptos" w:hAnsi="Aptos"/>
                <w:b w:val="0"/>
                <w:sz w:val="18"/>
              </w:rPr>
              <w:t>90,1 %</w:t>
            </w:r>
          </w:p>
        </w:tc>
      </w:tr>
    </w:tbl>
    <w:p>
      <w:pPr>
        <w:pStyle w:val="Heading1"/>
      </w:pPr>
      <w:r>
        <w:t>7. Resultados clínicos después de la corrección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8"/>
          </w:tcPr>
          <w:p>
            <w:r/>
            <w:r>
              <w:rPr>
                <w:rFonts w:ascii="Aptos" w:hAnsi="Aptos"/>
                <w:b/>
                <w:color w:val="FFFFFF"/>
                <w:sz w:val="18"/>
              </w:rPr>
              <w:t>Entidad</w:t>
            </w:r>
          </w:p>
        </w:tc>
        <w:tc>
          <w:tcPr>
            <w:tcW w:type="dxa" w:w="2016"/>
            <w:vAlign w:val="center"/>
            <w:shd w:fill="1F4E78"/>
          </w:tcPr>
          <w:p>
            <w:r/>
            <w:r>
              <w:rPr>
                <w:rFonts w:ascii="Aptos" w:hAnsi="Aptos"/>
                <w:b/>
                <w:color w:val="FFFFFF"/>
                <w:sz w:val="18"/>
              </w:rPr>
              <w:t>Synthea</w:t>
            </w:r>
          </w:p>
        </w:tc>
        <w:tc>
          <w:tcPr>
            <w:tcW w:type="dxa" w:w="2016"/>
            <w:vAlign w:val="center"/>
            <w:shd w:fill="1F4E78"/>
          </w:tcPr>
          <w:p>
            <w:r/>
            <w:r>
              <w:rPr>
                <w:rFonts w:ascii="Aptos" w:hAnsi="Aptos"/>
                <w:b/>
                <w:color w:val="FFFFFF"/>
                <w:sz w:val="18"/>
              </w:rPr>
              <w:t>Psynthea</w:t>
            </w:r>
          </w:p>
        </w:tc>
        <w:tc>
          <w:tcPr>
            <w:tcW w:type="dxa" w:w="2016"/>
            <w:vAlign w:val="center"/>
            <w:shd w:fill="1F4E78"/>
          </w:tcPr>
          <w:p>
            <w:r/>
            <w:r>
              <w:rPr>
                <w:rFonts w:ascii="Aptos" w:hAnsi="Aptos"/>
                <w:b/>
                <w:color w:val="FFFFFF"/>
                <w:sz w:val="18"/>
              </w:rPr>
              <w:t>Diferencia absoluta</w:t>
            </w:r>
          </w:p>
        </w:tc>
        <w:tc>
          <w:tcPr>
            <w:tcW w:type="dxa" w:w="2016"/>
            <w:vAlign w:val="center"/>
            <w:shd w:fill="1F4E78"/>
          </w:tcPr>
          <w:p>
            <w:r/>
            <w:r>
              <w:rPr>
                <w:rFonts w:ascii="Aptos" w:hAnsi="Aptos"/>
                <w:b/>
                <w:color w:val="FFFFFF"/>
                <w:sz w:val="18"/>
              </w:rPr>
              <w:t>Diferencia relativa</w:t>
            </w:r>
          </w:p>
        </w:tc>
      </w:tr>
      <w:tr>
        <w:tc>
          <w:tcPr>
            <w:tcW w:type="dxa" w:w="2016"/>
            <w:vAlign w:val="center"/>
          </w:tcPr>
          <w:p>
            <w:r/>
            <w:r>
              <w:rPr>
                <w:rFonts w:ascii="Aptos" w:hAnsi="Aptos"/>
                <w:b w:val="0"/>
                <w:sz w:val="18"/>
              </w:rPr>
              <w:t>Patients</w:t>
            </w:r>
          </w:p>
        </w:tc>
        <w:tc>
          <w:tcPr>
            <w:tcW w:type="dxa" w:w="2016"/>
            <w:vAlign w:val="center"/>
          </w:tcPr>
          <w:p>
            <w:r/>
            <w:r>
              <w:rPr>
                <w:rFonts w:ascii="Aptos" w:hAnsi="Aptos"/>
                <w:b w:val="0"/>
                <w:sz w:val="18"/>
              </w:rPr>
              <w:t>1.000</w:t>
            </w:r>
          </w:p>
        </w:tc>
        <w:tc>
          <w:tcPr>
            <w:tcW w:type="dxa" w:w="2016"/>
            <w:vAlign w:val="center"/>
          </w:tcPr>
          <w:p>
            <w:r/>
            <w:r>
              <w:rPr>
                <w:rFonts w:ascii="Aptos" w:hAnsi="Aptos"/>
                <w:b w:val="0"/>
                <w:sz w:val="18"/>
              </w:rPr>
              <w:t>1.000</w:t>
            </w:r>
          </w:p>
        </w:tc>
        <w:tc>
          <w:tcPr>
            <w:tcW w:type="dxa" w:w="2016"/>
            <w:vAlign w:val="center"/>
          </w:tcPr>
          <w:p>
            <w:r/>
            <w:r>
              <w:rPr>
                <w:rFonts w:ascii="Aptos" w:hAnsi="Aptos"/>
                <w:b w:val="0"/>
                <w:sz w:val="18"/>
              </w:rPr>
              <w:t>0</w:t>
            </w:r>
          </w:p>
        </w:tc>
        <w:tc>
          <w:tcPr>
            <w:tcW w:type="dxa" w:w="2016"/>
            <w:vAlign w:val="center"/>
          </w:tcPr>
          <w:p>
            <w:r/>
            <w:r>
              <w:rPr>
                <w:rFonts w:ascii="Aptos" w:hAnsi="Aptos"/>
                <w:b w:val="0"/>
                <w:sz w:val="18"/>
              </w:rPr>
              <w:t>0,0 %</w:t>
            </w:r>
          </w:p>
        </w:tc>
      </w:tr>
      <w:tr>
        <w:tc>
          <w:tcPr>
            <w:tcW w:type="dxa" w:w="2016"/>
            <w:vAlign w:val="center"/>
          </w:tcPr>
          <w:p>
            <w:r/>
            <w:r>
              <w:rPr>
                <w:rFonts w:ascii="Aptos" w:hAnsi="Aptos"/>
                <w:b w:val="0"/>
                <w:sz w:val="18"/>
              </w:rPr>
              <w:t>Encounters</w:t>
            </w:r>
          </w:p>
        </w:tc>
        <w:tc>
          <w:tcPr>
            <w:tcW w:type="dxa" w:w="2016"/>
            <w:vAlign w:val="center"/>
          </w:tcPr>
          <w:p>
            <w:r/>
            <w:r>
              <w:rPr>
                <w:rFonts w:ascii="Aptos" w:hAnsi="Aptos"/>
                <w:b w:val="0"/>
                <w:sz w:val="18"/>
              </w:rPr>
              <w:t>9.410</w:t>
            </w:r>
          </w:p>
        </w:tc>
        <w:tc>
          <w:tcPr>
            <w:tcW w:type="dxa" w:w="2016"/>
            <w:vAlign w:val="center"/>
          </w:tcPr>
          <w:p>
            <w:r/>
            <w:r>
              <w:rPr>
                <w:rFonts w:ascii="Aptos" w:hAnsi="Aptos"/>
                <w:b w:val="0"/>
                <w:sz w:val="18"/>
              </w:rPr>
              <w:t>6.924</w:t>
            </w:r>
          </w:p>
        </w:tc>
        <w:tc>
          <w:tcPr>
            <w:tcW w:type="dxa" w:w="2016"/>
            <w:vAlign w:val="center"/>
          </w:tcPr>
          <w:p>
            <w:r/>
            <w:r>
              <w:rPr>
                <w:rFonts w:ascii="Aptos" w:hAnsi="Aptos"/>
                <w:b w:val="0"/>
                <w:sz w:val="18"/>
              </w:rPr>
              <w:t>-2.486</w:t>
            </w:r>
          </w:p>
        </w:tc>
        <w:tc>
          <w:tcPr>
            <w:tcW w:type="dxa" w:w="2016"/>
            <w:vAlign w:val="center"/>
          </w:tcPr>
          <w:p>
            <w:r/>
            <w:r>
              <w:rPr>
                <w:rFonts w:ascii="Aptos" w:hAnsi="Aptos"/>
                <w:b w:val="0"/>
                <w:sz w:val="18"/>
              </w:rPr>
              <w:t>-26,4 %</w:t>
            </w:r>
          </w:p>
        </w:tc>
      </w:tr>
      <w:tr>
        <w:tc>
          <w:tcPr>
            <w:tcW w:type="dxa" w:w="2016"/>
            <w:vAlign w:val="center"/>
          </w:tcPr>
          <w:p>
            <w:r/>
            <w:r>
              <w:rPr>
                <w:rFonts w:ascii="Aptos" w:hAnsi="Aptos"/>
                <w:b w:val="0"/>
                <w:sz w:val="18"/>
              </w:rPr>
              <w:t>Conditions</w:t>
            </w:r>
          </w:p>
        </w:tc>
        <w:tc>
          <w:tcPr>
            <w:tcW w:type="dxa" w:w="2016"/>
            <w:vAlign w:val="center"/>
          </w:tcPr>
          <w:p>
            <w:r/>
            <w:r>
              <w:rPr>
                <w:rFonts w:ascii="Aptos" w:hAnsi="Aptos"/>
                <w:b w:val="0"/>
                <w:sz w:val="18"/>
              </w:rPr>
              <w:t>269</w:t>
            </w:r>
          </w:p>
        </w:tc>
        <w:tc>
          <w:tcPr>
            <w:tcW w:type="dxa" w:w="2016"/>
            <w:vAlign w:val="center"/>
          </w:tcPr>
          <w:p>
            <w:r/>
            <w:r>
              <w:rPr>
                <w:rFonts w:ascii="Aptos" w:hAnsi="Aptos"/>
                <w:b w:val="0"/>
                <w:sz w:val="18"/>
              </w:rPr>
              <w:t>283</w:t>
            </w:r>
          </w:p>
        </w:tc>
        <w:tc>
          <w:tcPr>
            <w:tcW w:type="dxa" w:w="2016"/>
            <w:vAlign w:val="center"/>
          </w:tcPr>
          <w:p>
            <w:r/>
            <w:r>
              <w:rPr>
                <w:rFonts w:ascii="Aptos" w:hAnsi="Aptos"/>
                <w:b w:val="0"/>
                <w:sz w:val="18"/>
              </w:rPr>
              <w:t>+14</w:t>
            </w:r>
          </w:p>
        </w:tc>
        <w:tc>
          <w:tcPr>
            <w:tcW w:type="dxa" w:w="2016"/>
            <w:vAlign w:val="center"/>
          </w:tcPr>
          <w:p>
            <w:r/>
            <w:r>
              <w:rPr>
                <w:rFonts w:ascii="Aptos" w:hAnsi="Aptos"/>
                <w:b w:val="0"/>
                <w:sz w:val="18"/>
              </w:rPr>
              <w:t>+5,2 %</w:t>
            </w:r>
          </w:p>
        </w:tc>
      </w:tr>
      <w:tr>
        <w:tc>
          <w:tcPr>
            <w:tcW w:type="dxa" w:w="2016"/>
            <w:vAlign w:val="center"/>
          </w:tcPr>
          <w:p>
            <w:r/>
            <w:r>
              <w:rPr>
                <w:rFonts w:ascii="Aptos" w:hAnsi="Aptos"/>
                <w:b w:val="0"/>
                <w:sz w:val="18"/>
              </w:rPr>
              <w:t>Medications</w:t>
            </w:r>
          </w:p>
        </w:tc>
        <w:tc>
          <w:tcPr>
            <w:tcW w:type="dxa" w:w="2016"/>
            <w:vAlign w:val="center"/>
          </w:tcPr>
          <w:p>
            <w:r/>
            <w:r>
              <w:rPr>
                <w:rFonts w:ascii="Aptos" w:hAnsi="Aptos"/>
                <w:b w:val="0"/>
                <w:sz w:val="18"/>
              </w:rPr>
              <w:t>462</w:t>
            </w:r>
          </w:p>
        </w:tc>
        <w:tc>
          <w:tcPr>
            <w:tcW w:type="dxa" w:w="2016"/>
            <w:vAlign w:val="center"/>
          </w:tcPr>
          <w:p>
            <w:r/>
            <w:r>
              <w:rPr>
                <w:rFonts w:ascii="Aptos" w:hAnsi="Aptos"/>
                <w:b w:val="0"/>
                <w:sz w:val="18"/>
              </w:rPr>
              <w:t>458</w:t>
            </w:r>
          </w:p>
        </w:tc>
        <w:tc>
          <w:tcPr>
            <w:tcW w:type="dxa" w:w="2016"/>
            <w:vAlign w:val="center"/>
          </w:tcPr>
          <w:p>
            <w:r/>
            <w:r>
              <w:rPr>
                <w:rFonts w:ascii="Aptos" w:hAnsi="Aptos"/>
                <w:b w:val="0"/>
                <w:sz w:val="18"/>
              </w:rPr>
              <w:t>-4</w:t>
            </w:r>
          </w:p>
        </w:tc>
        <w:tc>
          <w:tcPr>
            <w:tcW w:type="dxa" w:w="2016"/>
            <w:vAlign w:val="center"/>
          </w:tcPr>
          <w:p>
            <w:r/>
            <w:r>
              <w:rPr>
                <w:rFonts w:ascii="Aptos" w:hAnsi="Aptos"/>
                <w:b w:val="0"/>
                <w:sz w:val="18"/>
              </w:rPr>
              <w:t>-0,9 %</w:t>
            </w:r>
          </w:p>
        </w:tc>
      </w:tr>
      <w:tr>
        <w:tc>
          <w:tcPr>
            <w:tcW w:type="dxa" w:w="2016"/>
            <w:vAlign w:val="center"/>
          </w:tcPr>
          <w:p>
            <w:r/>
            <w:r>
              <w:rPr>
                <w:rFonts w:ascii="Aptos" w:hAnsi="Aptos"/>
                <w:b w:val="0"/>
                <w:sz w:val="18"/>
              </w:rPr>
              <w:t>Procedures</w:t>
            </w:r>
          </w:p>
        </w:tc>
        <w:tc>
          <w:tcPr>
            <w:tcW w:type="dxa" w:w="2016"/>
            <w:vAlign w:val="center"/>
          </w:tcPr>
          <w:p>
            <w:r/>
            <w:r>
              <w:rPr>
                <w:rFonts w:ascii="Aptos" w:hAnsi="Aptos"/>
                <w:b w:val="0"/>
                <w:sz w:val="18"/>
              </w:rPr>
              <w:t>3</w:t>
            </w:r>
          </w:p>
        </w:tc>
        <w:tc>
          <w:tcPr>
            <w:tcW w:type="dxa" w:w="2016"/>
            <w:vAlign w:val="center"/>
          </w:tcPr>
          <w:p>
            <w:r/>
            <w:r>
              <w:rPr>
                <w:rFonts w:ascii="Aptos" w:hAnsi="Aptos"/>
                <w:b w:val="0"/>
                <w:sz w:val="18"/>
              </w:rPr>
              <w:t>4</w:t>
            </w:r>
          </w:p>
        </w:tc>
        <w:tc>
          <w:tcPr>
            <w:tcW w:type="dxa" w:w="2016"/>
            <w:vAlign w:val="center"/>
          </w:tcPr>
          <w:p>
            <w:r/>
            <w:r>
              <w:rPr>
                <w:rFonts w:ascii="Aptos" w:hAnsi="Aptos"/>
                <w:b w:val="0"/>
                <w:sz w:val="18"/>
              </w:rPr>
              <w:t>+1</w:t>
            </w:r>
          </w:p>
        </w:tc>
        <w:tc>
          <w:tcPr>
            <w:tcW w:type="dxa" w:w="2016"/>
            <w:vAlign w:val="center"/>
          </w:tcPr>
          <w:p>
            <w:r/>
            <w:r>
              <w:rPr>
                <w:rFonts w:ascii="Aptos" w:hAnsi="Aptos"/>
                <w:b w:val="0"/>
                <w:sz w:val="18"/>
              </w:rPr>
              <w:t>No interpretable por bajo n</w:t>
            </w:r>
          </w:p>
        </w:tc>
      </w:tr>
      <w:tr>
        <w:tc>
          <w:tcPr>
            <w:tcW w:type="dxa" w:w="2016"/>
            <w:vAlign w:val="center"/>
          </w:tcPr>
          <w:p>
            <w:r/>
            <w:r>
              <w:rPr>
                <w:rFonts w:ascii="Aptos" w:hAnsi="Aptos"/>
                <w:b w:val="0"/>
                <w:sz w:val="18"/>
              </w:rPr>
              <w:t>Observations</w:t>
            </w:r>
          </w:p>
        </w:tc>
        <w:tc>
          <w:tcPr>
            <w:tcW w:type="dxa" w:w="2016"/>
            <w:vAlign w:val="center"/>
          </w:tcPr>
          <w:p>
            <w:r/>
            <w:r>
              <w:rPr>
                <w:rFonts w:ascii="Aptos" w:hAnsi="Aptos"/>
                <w:b w:val="0"/>
                <w:sz w:val="18"/>
              </w:rPr>
              <w:t>31.986</w:t>
            </w:r>
          </w:p>
        </w:tc>
        <w:tc>
          <w:tcPr>
            <w:tcW w:type="dxa" w:w="2016"/>
            <w:vAlign w:val="center"/>
          </w:tcPr>
          <w:p>
            <w:r/>
            <w:r>
              <w:rPr>
                <w:rFonts w:ascii="Aptos" w:hAnsi="Aptos"/>
                <w:b w:val="0"/>
                <w:sz w:val="18"/>
              </w:rPr>
              <w:t>34.128</w:t>
            </w:r>
          </w:p>
        </w:tc>
        <w:tc>
          <w:tcPr>
            <w:tcW w:type="dxa" w:w="2016"/>
            <w:vAlign w:val="center"/>
          </w:tcPr>
          <w:p>
            <w:r/>
            <w:r>
              <w:rPr>
                <w:rFonts w:ascii="Aptos" w:hAnsi="Aptos"/>
                <w:b w:val="0"/>
                <w:sz w:val="18"/>
              </w:rPr>
              <w:t>+2.142</w:t>
            </w:r>
          </w:p>
        </w:tc>
        <w:tc>
          <w:tcPr>
            <w:tcW w:type="dxa" w:w="2016"/>
            <w:vAlign w:val="center"/>
          </w:tcPr>
          <w:p>
            <w:r/>
            <w:r>
              <w:rPr>
                <w:rFonts w:ascii="Aptos" w:hAnsi="Aptos"/>
                <w:b w:val="0"/>
                <w:sz w:val="18"/>
              </w:rPr>
              <w:t>+6,7 %</w:t>
            </w:r>
          </w:p>
        </w:tc>
      </w:tr>
    </w:tbl>
    <w:p>
      <w:pPr>
        <w:pStyle w:val="Heading2"/>
      </w:pPr>
      <w:r>
        <w:t>7.1. Interpretación por entidad</w:t>
      </w:r>
    </w:p>
    <w:p>
      <w:pPr>
        <w:pStyle w:val="ListBullet"/>
      </w:pPr>
      <w:r>
        <w:t>Patients: alineación exacta del tamaño de cohorte.</w:t>
      </w:r>
    </w:p>
    <w:p>
      <w:pPr>
        <w:pStyle w:val="ListBullet"/>
      </w:pPr>
      <w:r>
        <w:t>Medications: resultado prácticamente idéntico. El salto de 357 a 458 demuestra que el sesgo de edad explicaba casi toda la diferencia previa.</w:t>
      </w:r>
    </w:p>
    <w:p>
      <w:pPr>
        <w:pStyle w:val="ListBullet"/>
      </w:pPr>
      <w:r>
        <w:t>Conditions: diferencia moderada de +5,2 %, razonable para una simulación estocástica y una cohorte de 1.000 pacientes.</w:t>
      </w:r>
    </w:p>
    <w:p>
      <w:pPr>
        <w:pStyle w:val="ListBullet"/>
      </w:pPr>
      <w:r>
        <w:t>Observations: diferencia de +6,7 %. Ya no constituye una divergencia estructural evidente, aunque debe revisarse junto con encounters.</w:t>
      </w:r>
    </w:p>
    <w:p>
      <w:pPr>
        <w:pStyle w:val="ListBullet"/>
      </w:pPr>
      <w:r>
        <w:t>Procedures: 4 frente a 3. El número absoluto es demasiado bajo para interpretar el porcentaje como una señal robusta.</w:t>
      </w:r>
    </w:p>
    <w:p>
      <w:pPr>
        <w:pStyle w:val="ListBullet"/>
      </w:pPr>
      <w:r>
        <w:t>Encounters: única discrepancia material restante, con 2.486 encuentros menos en Psynthea.</w:t>
      </w:r>
    </w:p>
    <w:p>
      <w:pPr>
        <w:pStyle w:val="Heading1"/>
      </w:pPr>
      <w:r>
        <w:t>8. Descubrimientos y conclusiones científicas</w:t>
      </w:r>
    </w:p>
    <w:p>
      <w:pPr>
        <w:pStyle w:val="Heading2"/>
      </w:pPr>
      <w:r>
        <w:t>8.1. Descubrimiento principal</w:t>
      </w:r>
    </w:p>
    <w:p>
      <w:r>
        <w:t>La distribución de edad no era un detalle descriptivo: era una variable causal que afectaba a la activación de estados clínicos dependientes de edad, al riesgo acumulado de hipertensión, a la prescripción de antihipertensivos y al número de controles y observaciones.</w:t>
      </w:r>
    </w:p>
    <w:p>
      <w:pPr>
        <w:pStyle w:val="Heading2"/>
      </w:pPr>
      <w:r>
        <w:t>8.2. Hipótesis descartadas o debilitadas</w:t>
      </w:r>
    </w:p>
    <w:p>
      <w:pPr>
        <w:pStyle w:val="ListBullet"/>
      </w:pPr>
      <w:r>
        <w:t>El perfil de Massachusetts no estaba mal construido como explicación principal.</w:t>
      </w:r>
    </w:p>
    <w:p>
      <w:pPr>
        <w:pStyle w:val="ListBullet"/>
      </w:pPr>
      <w:r>
        <w:t>La diferencia clínica no se debía principalmente a raza, etnia o sexo.</w:t>
      </w:r>
    </w:p>
    <w:p>
      <w:pPr>
        <w:pStyle w:val="ListBullet"/>
      </w:pPr>
      <w:r>
        <w:t>No era necesario implementar demografía por ciudad para corregir el problema observado.</w:t>
      </w:r>
    </w:p>
    <w:p>
      <w:pPr>
        <w:pStyle w:val="ListBullet"/>
      </w:pPr>
      <w:r>
        <w:t>No debía modificarse restricted_to() ni el repositorio Java de Synthea.</w:t>
      </w:r>
    </w:p>
    <w:p>
      <w:pPr>
        <w:pStyle w:val="ListBullet"/>
      </w:pPr>
      <w:r>
        <w:t>La discrepancia en medications no era un fallo principal del módulo de hipertensión; estaba dominada por el sesgo etario.</w:t>
      </w:r>
    </w:p>
    <w:p>
      <w:pPr>
        <w:pStyle w:val="Heading2"/>
      </w:pPr>
      <w:r>
        <w:t>8.3. Estado de validez de la demografía</w:t>
      </w:r>
    </w:p>
    <w:p>
      <w:r>
        <w:t>La demografía se considera suficientemente alineada para continuar la validación clínica. No se recomienda ajustar artificialmente las bandas para eliminar diferencias de 1-3 puntos porcentuales. Hacerlo podría sobreajustar una cohorte concreta y reducir la generalización.</w:t>
      </w:r>
    </w:p>
    <w:p>
      <w:pPr>
        <w:pStyle w:val="Heading1"/>
      </w:pPr>
      <w:r>
        <w:t>9. Punto exacto en el que queda el proyecto</w:t>
      </w:r>
    </w:p>
    <w:p>
      <w:pPr>
        <w:pStyle w:val="ListBullet"/>
      </w:pPr>
      <w:r>
        <w:t>La corrección demográfica está implementada y validada mediante una nueva ejecución.</w:t>
      </w:r>
    </w:p>
    <w:p>
      <w:pPr>
        <w:pStyle w:val="ListBullet"/>
      </w:pPr>
      <w:r>
        <w:t>La edad media y la dispersión son prácticamente equivalentes entre los motores.</w:t>
      </w:r>
    </w:p>
    <w:p>
      <w:pPr>
        <w:pStyle w:val="ListBullet"/>
      </w:pPr>
      <w:r>
        <w:t>Sexo, raza y etnia continúan respetando el perfil de Massachusetts.</w:t>
      </w:r>
    </w:p>
    <w:p>
      <w:pPr>
        <w:pStyle w:val="ListBullet"/>
      </w:pPr>
      <w:r>
        <w:t>Conditions, medications y observations están próximas a Synthea.</w:t>
      </w:r>
    </w:p>
    <w:p>
      <w:pPr>
        <w:pStyle w:val="ListBullet"/>
      </w:pPr>
      <w:r>
        <w:t>La diferencia principal pendiente es encounters: Psynthea genera un 26,4 % menos.</w:t>
      </w:r>
    </w:p>
    <w:p>
      <w:pPr>
        <w:pStyle w:val="ListBullet"/>
      </w:pPr>
      <w:r>
        <w:t>Todavía no se ha explicado si la diferencia de encounters procede de wellness, encuentros ambulatorios del módulo, seguimientos, encounter types o lógica temporal del motor.</w:t>
      </w:r>
    </w:p>
    <w:p>
      <w:pPr>
        <w:pStyle w:val="ListBullet"/>
      </w:pPr>
      <w:r>
        <w:t>No se deben realizar más cambios demográficos antes de cerrar el análisis de encounters.</w:t>
      </w:r>
    </w:p>
    <w:p>
      <w:pPr>
        <w:pStyle w:val="Heading1"/>
      </w:pPr>
      <w:r>
        <w:t>10. Trabajo que debe realizarse en el siguiente chat</w:t>
      </w:r>
    </w:p>
    <w:p>
      <w:pPr>
        <w:pStyle w:val="Heading2"/>
      </w:pPr>
      <w:r>
        <w:t>10.1. Prioridad 1: descomposición de encounters</w:t>
      </w:r>
    </w:p>
    <w:p>
      <w:r>
        <w:t>Comparar ambos encounters.csv por clase, tipo, código, descripción, motivo, organización, proveedor y periodo temporal, utilizando únicamente columnas realmente presentes en los archivos.</w:t>
      </w:r>
    </w:p>
    <w:p>
      <w:pPr>
        <w:pStyle w:val="ListBullet"/>
      </w:pPr>
      <w:r>
        <w:t>Conteo total por encounter class/type.</w:t>
      </w:r>
    </w:p>
    <w:p>
      <w:pPr>
        <w:pStyle w:val="ListBullet"/>
      </w:pPr>
      <w:r>
        <w:t>Conteo por año y por edad.</w:t>
      </w:r>
    </w:p>
    <w:p>
      <w:pPr>
        <w:pStyle w:val="ListBullet"/>
      </w:pPr>
      <w:r>
        <w:t>Encuentros por paciente: media, mediana, percentiles y proporción de pacientes sin encuentros.</w:t>
      </w:r>
    </w:p>
    <w:p>
      <w:pPr>
        <w:pStyle w:val="ListBullet"/>
      </w:pPr>
      <w:r>
        <w:t>Duración de encuentros y solapamientos, si las columnas lo permiten.</w:t>
      </w:r>
    </w:p>
    <w:p>
      <w:pPr>
        <w:pStyle w:val="ListBullet"/>
      </w:pPr>
      <w:r>
        <w:t>Separación entre wellness encounters y encuentros originados por módulos.</w:t>
      </w:r>
    </w:p>
    <w:p>
      <w:pPr>
        <w:pStyle w:val="ListBullet"/>
      </w:pPr>
      <w:r>
        <w:t>Número de observaciones por encounter para determinar si Psynthea agrupa más observaciones en menos visitas.</w:t>
      </w:r>
    </w:p>
    <w:p>
      <w:pPr>
        <w:pStyle w:val="Heading2"/>
      </w:pPr>
      <w:r>
        <w:t>10.2. Prioridad 2: inspección de la lógica de generación</w:t>
      </w:r>
    </w:p>
    <w:p>
      <w:pPr>
        <w:pStyle w:val="ListBullet"/>
      </w:pPr>
      <w:r>
        <w:t>Revisar src/psynthea/engine/generator.py, especialmente el calendario de wellness y el bucle temporal.</w:t>
      </w:r>
    </w:p>
    <w:p>
      <w:pPr>
        <w:pStyle w:val="ListBullet"/>
      </w:pPr>
      <w:r>
        <w:t>Comparar con la lógica Java de Synthea responsable de wellness encounters y encounter scheduling.</w:t>
      </w:r>
    </w:p>
    <w:p>
      <w:pPr>
        <w:pStyle w:val="ListBullet"/>
      </w:pPr>
      <w:r>
        <w:t>Verificar fecha del primer wellness, periodicidad, edad mínima, encuentros tras mortalidad y manejo de la fecha final.</w:t>
      </w:r>
    </w:p>
    <w:p>
      <w:pPr>
        <w:pStyle w:val="ListBullet"/>
      </w:pPr>
      <w:r>
        <w:t>Comprobar si Synthea genera encounters asociados a vital signs que Psynthea no materializa.</w:t>
      </w:r>
    </w:p>
    <w:p>
      <w:pPr>
        <w:pStyle w:val="ListBullet"/>
      </w:pPr>
      <w:r>
        <w:t>Comprobar si los CallSubmodule, Encounter y EncounterEnd del módulo producen exactamente la misma persistencia.</w:t>
      </w:r>
    </w:p>
    <w:p>
      <w:pPr>
        <w:pStyle w:val="Heading2"/>
      </w:pPr>
      <w:r>
        <w:t>10.3. Prioridad 3: trazabilidad cuantitativa</w:t>
      </w:r>
    </w:p>
    <w:p>
      <w:pPr>
        <w:pStyle w:val="ListBullet"/>
      </w:pPr>
      <w:r>
        <w:t>Calcular cuántos de los 2.486 encuentros faltantes pueden explicarse por cada categoría.</w:t>
      </w:r>
    </w:p>
    <w:p>
      <w:pPr>
        <w:pStyle w:val="ListBullet"/>
      </w:pPr>
      <w:r>
        <w:t>No modificar código hasta identificar una diferencia reproducible y semánticamente incorrecta.</w:t>
      </w:r>
    </w:p>
    <w:p>
      <w:pPr>
        <w:pStyle w:val="ListBullet"/>
      </w:pPr>
      <w:r>
        <w:t>Después de cualquier cambio, repetir la ejecución con exactamente semilla 42, 1.000 pacientes y la misma configuración.</w:t>
      </w:r>
    </w:p>
    <w:p>
      <w:pPr>
        <w:pStyle w:val="ListBullet"/>
      </w:pPr>
      <w:r>
        <w:t>Mantener la referencia Synthea actual para evitar mezclar runs.</w:t>
      </w:r>
    </w:p>
    <w:p>
      <w:pPr>
        <w:pStyle w:val="Heading2"/>
      </w:pPr>
      <w:r>
        <w:t>10.4. Criterio de cierre del bloque encounters</w:t>
      </w:r>
    </w:p>
    <w:p>
      <w:r>
        <w:t>El objetivo no es forzar igualdad exacta de conteos, sino demostrar que la semántica de generación es equivalente o explicar de forma defendible las diferencias. El bloque puede considerarse cerrado cuando:</w:t>
      </w:r>
    </w:p>
    <w:p>
      <w:pPr>
        <w:pStyle w:val="ListBullet"/>
      </w:pPr>
      <w:r>
        <w:t>No exista una categoría de encuentros ausente por fallo de implementación.</w:t>
      </w:r>
    </w:p>
    <w:p>
      <w:pPr>
        <w:pStyle w:val="ListBullet"/>
      </w:pPr>
      <w:r>
        <w:t>La periodicidad y las reglas de creación coincidan con Synthea o estén justificadas.</w:t>
      </w:r>
    </w:p>
    <w:p>
      <w:pPr>
        <w:pStyle w:val="ListBullet"/>
      </w:pPr>
      <w:r>
        <w:t>La diferencia residual sea atribuible a estocasticidad, diferencias documentadas o decisiones explícitas de diseño.</w:t>
      </w:r>
    </w:p>
    <w:p>
      <w:pPr>
        <w:pStyle w:val="ListBullet"/>
      </w:pPr>
      <w:r>
        <w:t>Las observaciones y medicaciones permanezcan clínicamente coherentes tras cualquier corrección.</w:t>
      </w:r>
    </w:p>
    <w:p>
      <w:pPr>
        <w:pStyle w:val="Heading1"/>
      </w:pPr>
      <w:r>
        <w:t>11. Comandos y rutas que deben conservarse</w:t>
      </w:r>
    </w:p>
    <w:p>
      <w:pPr>
        <w:pStyle w:val="Heading2"/>
      </w:pPr>
      <w:r>
        <w:t>11.1. Repositorios</w:t>
      </w:r>
    </w:p>
    <w:p>
      <w:pPr>
        <w:pStyle w:val="CodeBlock"/>
      </w:pPr>
      <w:r>
        <w:t>Psynthea:</w:t>
        <w:br/>
        <w:t xml:space="preserve">  /Users/pgt01/IRYCIS/psynthea</w:t>
        <w:br/>
        <w:br/>
        <w:t>Validación:</w:t>
        <w:br/>
        <w:t xml:space="preserve">  /Users/pgt01/IRYCIS/psynthea-validation</w:t>
        <w:br/>
        <w:br/>
        <w:t>No modificar:</w:t>
        <w:br/>
        <w:t xml:space="preserve">  /Users/pgt01/IRYCIS/synthea</w:t>
      </w:r>
    </w:p>
    <w:p>
      <w:pPr>
        <w:pStyle w:val="Heading2"/>
      </w:pPr>
      <w:r>
        <w:t>11.2. Salida Psynthea actual</w:t>
      </w:r>
    </w:p>
    <w:p>
      <w:pPr>
        <w:pStyle w:val="CodeBlock"/>
      </w:pPr>
      <w:r>
        <w:t>/tmp/psynthea-hypertension-massachusetts</w:t>
      </w:r>
    </w:p>
    <w:p>
      <w:pPr>
        <w:pStyle w:val="Heading2"/>
      </w:pPr>
      <w:r>
        <w:t>11.3. Run Synthea de referencia</w:t>
      </w:r>
    </w:p>
    <w:p>
      <w:pPr>
        <w:pStyle w:val="CodeBlock"/>
      </w:pPr>
      <w:r>
        <w:t>/Users/pgt01/IRYCIS/psynthea-validation/runs/hypertension-equivalence/run-20260727T115801327308Z-a24968ddc9bc</w:t>
      </w:r>
    </w:p>
    <w:p>
      <w:pPr>
        <w:pStyle w:val="Heading2"/>
      </w:pPr>
      <w:r>
        <w:t>11.4. Conteo rápido de entidades</w:t>
      </w:r>
    </w:p>
    <w:p>
      <w:pPr>
        <w:pStyle w:val="CodeBlock"/>
      </w:pPr>
      <w:r>
        <w:t>for file in \</w:t>
        <w:br/>
        <w:t xml:space="preserve">  patients.csv \</w:t>
        <w:br/>
        <w:t xml:space="preserve">  encounters.csv \</w:t>
        <w:br/>
        <w:t xml:space="preserve">  conditions.csv \</w:t>
        <w:br/>
        <w:t xml:space="preserve">  medications.csv \</w:t>
        <w:br/>
        <w:t xml:space="preserve">  procedures.csv \</w:t>
        <w:br/>
        <w:t xml:space="preserve">  observations.csv</w:t>
        <w:br/>
        <w:t>do</w:t>
        <w:br/>
        <w:t xml:space="preserve">  printf "%-22s " "$file"</w:t>
        <w:br/>
        <w:t xml:space="preserve">  awk 'END {print NR-1}' \</w:t>
        <w:br/>
        <w:t xml:space="preserve">    "/tmp/psynthea-hypertension-massachusetts/$file"</w:t>
        <w:br/>
        <w:t>done</w:t>
      </w:r>
    </w:p>
    <w:p>
      <w:pPr>
        <w:pStyle w:val="Heading2"/>
      </w:pPr>
      <w:r>
        <w:t>11.5. Validación del código</w:t>
      </w:r>
    </w:p>
    <w:p>
      <w:pPr>
        <w:pStyle w:val="CodeBlock"/>
      </w:pPr>
      <w:r>
        <w:t>python -m py_compile \</w:t>
        <w:br/>
        <w:t xml:space="preserve">  src/psynthea/demographics.py \</w:t>
        <w:br/>
        <w:t xml:space="preserve">  src/psynthea/cli.py \</w:t>
        <w:br/>
        <w:t xml:space="preserve">  src/psynthea/engine/generator.py</w:t>
        <w:br/>
        <w:br/>
        <w:t>python -m pytest -q</w:t>
      </w:r>
    </w:p>
    <w:p>
      <w:pPr>
        <w:pStyle w:val="Heading1"/>
      </w:pPr>
      <w:r>
        <w:t>12. Riesgos y precauciones</w:t>
      </w:r>
    </w:p>
    <w:p>
      <w:pPr>
        <w:pStyle w:val="ListBullet"/>
      </w:pPr>
      <w:r>
        <w:t>No mezclar resultados de runs distintos de Synthea al comparar entidades.</w:t>
      </w:r>
    </w:p>
    <w:p>
      <w:pPr>
        <w:pStyle w:val="ListBullet"/>
      </w:pPr>
      <w:r>
        <w:t>No asumir columnas de encounters.csv sin inspeccionar primero sus cabeceras.</w:t>
      </w:r>
    </w:p>
    <w:p>
      <w:pPr>
        <w:pStyle w:val="ListBullet"/>
      </w:pPr>
      <w:r>
        <w:t>No interpretar diferencias porcentuales en procedures con n=3 o n=4.</w:t>
      </w:r>
    </w:p>
    <w:p>
      <w:pPr>
        <w:pStyle w:val="ListBullet"/>
      </w:pPr>
      <w:r>
        <w:t>No modificar la demografía para compensar indirectamente un problema de encounters.</w:t>
      </w:r>
    </w:p>
    <w:p>
      <w:pPr>
        <w:pStyle w:val="ListBullet"/>
      </w:pPr>
      <w:r>
        <w:t>No confundir el repositorio Java synthea con el repositorio Python psynthea.</w:t>
      </w:r>
    </w:p>
    <w:p>
      <w:pPr>
        <w:pStyle w:val="ListBullet"/>
      </w:pPr>
      <w:r>
        <w:t>No buscar igualdad fila a fila con la misma semilla: los motores y sus generadores pseudoaleatorios no tienen por qué consumir aleatoriedad de la misma forma.</w:t>
      </w:r>
    </w:p>
    <w:p>
      <w:pPr>
        <w:pStyle w:val="ListBullet"/>
      </w:pPr>
      <w:r>
        <w:t>Conservar comandos, semilla, fechas y flags idénticos entre iteraciones para mantener reproducibilidad.</w:t>
      </w:r>
    </w:p>
    <w:p>
      <w:r>
        <w:br w:type="page"/>
      </w:r>
    </w:p>
    <w:p>
      <w:pPr>
        <w:pStyle w:val="Heading1"/>
      </w:pPr>
      <w:r>
        <w:t>13. Mensaje de continuidad para el siguiente chat</w:t>
      </w:r>
    </w:p>
    <w:p>
      <w:r>
        <w:rPr>
          <w:b/>
        </w:rPr>
        <w:t>La demografía ya está corregida y no debe tocarse. La corrección consistió en hacer que un rango explícito de edad 18-90 prevalezca sobre la distribución etaria del perfil, manteniendo el sexo y las demás variables demográficas del perfil de Massachusetts. Tras el cambio, Psynthea obtiene edad media 52,56 frente a 53,30 en Synthea; medications 458 frente a 462; conditions 283 frente a 269; observations 34.128 frente a 31.986. La única diferencia material es encounters: 6.924 frente a 9.410. El siguiente paso es descomponer ambos encounters.csv y localizar qué tipos o reglas de creación explican los 2.486 encuentros faltantes. No se debe cambiar código hasta tener esa descomposición.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Validación científica Psynthea vs Synthea | Actualización 28/07/2026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