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ACTUALIZACIÓN DEL PROYECTO – VALIDACIÓN CIENTÍFICA PSYNTHEA vs SYNTHEA</w:t>
      </w:r>
    </w:p>
    <w:p>
      <w:r>
        <w:rPr>
          <w:b/>
        </w:rPr>
        <w:t xml:space="preserve">Fecha: </w:t>
      </w:r>
      <w:r>
        <w:t>Fin de esta sesión</w:t>
        <w:br/>
      </w:r>
      <w:r>
        <w:rPr>
          <w:b/>
        </w:rPr>
        <w:t xml:space="preserve">Objetivo de este documento: </w:t>
      </w:r>
      <w:r>
        <w:t>Servir como contexto completo para continuar el proyecto en un nuevo chat sin perder ninguna decisión técnica.</w:t>
      </w:r>
    </w:p>
    <w:p>
      <w:pPr>
        <w:pStyle w:val="Heading2"/>
      </w:pPr>
      <w:r>
        <w:t>1. Objetivo de esta fase</w:t>
      </w:r>
    </w:p>
    <w:p>
      <w:r>
        <w:rPr>
          <w:sz w:val="22"/>
        </w:rPr>
        <w:t>El objetivo de esta sesión fue cerrar completamente la compatibilidad técnica de Psynthea con los módulos raíz de Synthea, pasando de una validación centrada únicamente en hipertensión a una validación global del parser y del motor de ejecución.</w:t>
        <w:br/>
        <w:br/>
        <w:t>Se decidió dejar de modificar el motor de hipertensión porque las diferencias restantes frente a Synthea eran debidas principalmente a observaciones de bienestar (DALY/QALY/QOLS y wellness) y no a un error funcional del módulo. A partir de ese momento el foco pasó a la compatibilidad de todos los módulos clínicos.</w:t>
      </w:r>
    </w:p>
    <w:p>
      <w:pPr>
        <w:pStyle w:val="Heading2"/>
      </w:pPr>
      <w:r>
        <w:t>2. Auditoría inicial</w:t>
      </w:r>
    </w:p>
    <w:p>
      <w:r>
        <w:rPr>
          <w:sz w:val="22"/>
        </w:rPr>
        <w:t>Se ejecutó una auditoría estática de compatibilidad de módulos.</w:t>
        <w:br/>
        <w:br/>
        <w:t>Resultado:</w:t>
        <w:br/>
        <w:t>- 85 módulos raíz detectados.</w:t>
        <w:br/>
        <w:t>- 83 compatibles.</w:t>
        <w:br/>
        <w:t>- 2 incompatibles inicialmente:</w:t>
        <w:br/>
        <w:t xml:space="preserve">  • gallstones</w:t>
        <w:br/>
        <w:t xml:space="preserve">  • sore_throat</w:t>
        <w:br/>
        <w:br/>
        <w:t>Posteriormente se desarrolló un smoke test runtime para comprobar no solo el parser sino también la ejecución completa.</w:t>
      </w:r>
    </w:p>
    <w:p>
      <w:pPr>
        <w:pStyle w:val="Heading2"/>
      </w:pPr>
      <w:r>
        <w:t>3. Desarrollo del smoke test</w:t>
      </w:r>
    </w:p>
    <w:p>
      <w:r>
        <w:rPr>
          <w:sz w:val="22"/>
        </w:rPr>
        <w:t>Se creó un runner específico que:</w:t>
        <w:br/>
        <w:t>- descubre automáticamente todos los módulos raíz;</w:t>
        <w:br/>
        <w:t>- ejecuta cada módulo individualmente;</w:t>
        <w:br/>
        <w:t>- registra parser, runtime y exportación;</w:t>
        <w:br/>
        <w:t>- almacena stdout/stderr;</w:t>
        <w:br/>
        <w:t>- genera evidencia JSON reproducible;</w:t>
        <w:br/>
        <w:t>- soporta reanudación mediante --resume.</w:t>
      </w:r>
    </w:p>
    <w:p>
      <w:pPr>
        <w:pStyle w:val="Heading2"/>
      </w:pPr>
      <w:r>
        <w:t>4. Primera ejecución</w:t>
      </w:r>
    </w:p>
    <w:p>
      <w:r>
        <w:rPr>
          <w:sz w:val="22"/>
        </w:rPr>
        <w:t>Resultado:</w:t>
        <w:br/>
        <w:t>- 85 módulos.</w:t>
        <w:br/>
        <w:t>- 82 PASS.</w:t>
        <w:br/>
        <w:t>- 3 PARSE_ERROR.</w:t>
        <w:br/>
        <w:br/>
        <w:t>Errores detectados:</w:t>
        <w:br/>
        <w:t>1. congestive_heart_failure:</w:t>
        <w:br/>
        <w:t xml:space="preserve">   SetAttribute con value + distribution.</w:t>
        <w:br/>
        <w:t>2. gallstones:</w:t>
        <w:br/>
        <w:t xml:space="preserve">   Estado Physiology.</w:t>
        <w:br/>
        <w:t>3. sore_throat:</w:t>
        <w:br/>
        <w:t xml:space="preserve">   Active Medication mediante referenced_by_attribute.</w:t>
        <w:br/>
        <w:br/>
        <w:t>Se revisó el código oficial de Synthea para confirmar el comportamiento esperado antes de modificar Psynthea.</w:t>
      </w:r>
    </w:p>
    <w:p>
      <w:pPr>
        <w:pStyle w:val="Heading2"/>
      </w:pPr>
      <w:r>
        <w:t>5. Cambios implementados en Psynthea</w:t>
      </w:r>
    </w:p>
    <w:p>
      <w:r>
        <w:rPr>
          <w:sz w:val="22"/>
        </w:rPr>
        <w:t>5.1 SetAttribute</w:t>
        <w:br/>
        <w:t>Se permitió la combinación legacy value + distribution. La distribución mantiene prioridad sobre el valor fijo.</w:t>
        <w:br/>
        <w:br/>
        <w:t>5.2 Active Medication</w:t>
        <w:br/>
        <w:t>Se amplió ActiveMedication para soportar referenced_by_attribute además de codes.</w:t>
        <w:br/>
        <w:br/>
        <w:t>5.3 Physiology</w:t>
        <w:br/>
        <w:t>Cuando existe alt_direct_transition y no hay motor fisiológico implementado, Psynthea sigue la transición alternativa, igual que Synthea.</w:t>
      </w:r>
    </w:p>
    <w:p>
      <w:pPr>
        <w:pStyle w:val="Heading2"/>
      </w:pPr>
      <w:r>
        <w:t>6. Resultado tras las correcciones</w:t>
      </w:r>
    </w:p>
    <w:p>
      <w:r>
        <w:rPr>
          <w:sz w:val="22"/>
        </w:rPr>
        <w:t>Todos los tests existentes siguieron pasando (17/17).</w:t>
        <w:br/>
        <w:br/>
        <w:t>Los tres módulos conflictivos comenzaron a ejecutarse correctamente:</w:t>
        <w:br/>
        <w:t>- congestive_heart_failure</w:t>
        <w:br/>
        <w:t>- gallstones</w:t>
        <w:br/>
        <w:t>- sore_throat</w:t>
        <w:br/>
        <w:br/>
        <w:t>Se repitió el smoke test completo.</w:t>
        <w:br/>
        <w:br/>
        <w:t>Resultado:</w:t>
        <w:br/>
        <w:t>85 PASS</w:t>
        <w:br/>
        <w:t>100 % compatibilidad técnica runtime.</w:t>
      </w:r>
    </w:p>
    <w:p>
      <w:pPr>
        <w:pStyle w:val="Heading2"/>
      </w:pPr>
      <w:r>
        <w:t>7. Mejora del smoke test</w:t>
      </w:r>
    </w:p>
    <w:p>
      <w:r>
        <w:rPr>
          <w:sz w:val="22"/>
        </w:rPr>
        <w:t>El script evolucionó a la versión 1.2.</w:t>
        <w:br/>
        <w:br/>
        <w:t>Mejoras:</w:t>
        <w:br/>
        <w:t>- activity_classification</w:t>
        <w:br/>
        <w:t>- encounter_rows</w:t>
        <w:br/>
        <w:t>- clinical_rows</w:t>
        <w:br/>
        <w:t>- migración automática de evidencias antiguas</w:t>
        <w:br/>
        <w:t>- --resume solo conserva PASS</w:t>
        <w:br/>
        <w:t>- reintento automático de fallos</w:t>
        <w:br/>
        <w:t>- resumen por actividad</w:t>
        <w:br/>
        <w:t>- soporte:</w:t>
        <w:br/>
        <w:t xml:space="preserve">  --source-evidence</w:t>
        <w:br/>
        <w:t xml:space="preserve">  --activity-filter</w:t>
        <w:br/>
        <w:br/>
        <w:t>Esto permite campañas selectivas sin repetir módulos ya analizados.</w:t>
      </w:r>
    </w:p>
    <w:p>
      <w:pPr>
        <w:pStyle w:val="Heading2"/>
      </w:pPr>
      <w:r>
        <w:t>8. Resultados científicos</w:t>
      </w:r>
    </w:p>
    <w:p>
      <w:r>
        <w:rPr>
          <w:sz w:val="22"/>
        </w:rPr>
        <w:t>Primera pasada (3 pacientes):</w:t>
        <w:br/>
        <w:t>- CLINICAL_ACTIVITY: 9</w:t>
        <w:br/>
        <w:t>- ENCOUNTERS_ONLY: 76</w:t>
        <w:br/>
        <w:br/>
        <w:t>Segunda pasada (50 pacientes solo sobre ENCOUNTERS_ONLY):</w:t>
        <w:br/>
        <w:t>- CLINICAL_ACTIVITY: 16</w:t>
        <w:br/>
        <w:t>- ENCOUNTERS_ONLY: 60</w:t>
        <w:br/>
        <w:br/>
        <w:t>En total:</w:t>
        <w:br/>
        <w:t>- Compatibilidad técnica: 85/85 módulos.</w:t>
        <w:br/>
        <w:t>- Módulos con actividad clínica observada: 25.</w:t>
        <w:br/>
        <w:t>- Módulos sin actividad clínica exportada en ejecución aislada: 60.</w:t>
      </w:r>
    </w:p>
    <w:p>
      <w:pPr>
        <w:pStyle w:val="Heading2"/>
      </w:pPr>
      <w:r>
        <w:t>9. Hallazgos importantes</w:t>
      </w:r>
    </w:p>
    <w:p>
      <w:r>
        <w:rPr>
          <w:sz w:val="22"/>
        </w:rPr>
        <w:t>- covid19 tarda ~62 s, muy por encima del resto. Debe estudiarse como posible problema de rendimiento.</w:t>
        <w:br/>
        <w:t>- Muchos módulos generan únicamente encuentros. Esto NO implica necesariamente fallo: pueden depender de atributos, condiciones previas o módulos desencadenantes.</w:t>
      </w:r>
    </w:p>
    <w:p>
      <w:pPr>
        <w:pStyle w:val="Heading2"/>
      </w:pPr>
      <w:r>
        <w:t>10. Conclusiones</w:t>
      </w:r>
    </w:p>
    <w:p>
      <w:r>
        <w:rPr>
          <w:sz w:val="22"/>
        </w:rPr>
        <w:t>La compatibilidad técnica entre Psynthea y los módulos raíz de Synthea puede considerarse completa.</w:t>
        <w:br/>
        <w:br/>
        <w:t>Los tres problemas reales del parser quedaron resueltos de forma alineada con el comportamiento oficial de Synthea.</w:t>
        <w:br/>
        <w:br/>
        <w:t>El smoke test constituye ahora una evidencia reproducible para el proyecto científico.</w:t>
      </w:r>
    </w:p>
    <w:p>
      <w:pPr>
        <w:pStyle w:val="Heading2"/>
      </w:pPr>
      <w:r>
        <w:t>11. Próxima fase</w:t>
      </w:r>
    </w:p>
    <w:p>
      <w:r>
        <w:rPr>
          <w:sz w:val="22"/>
        </w:rPr>
        <w:t>Objetivo: analizar los 60 módulos restantes para determinar por qué no generan actividad clínica en aislamiento.</w:t>
        <w:br/>
        <w:br/>
        <w:t>Clasificación prevista:</w:t>
        <w:br/>
        <w:t>- STANDALONE_STOCHASTIC</w:t>
        <w:br/>
        <w:t>- DEPENDENT_ON_ATTRIBUTE</w:t>
        <w:br/>
        <w:t>- DEPENDENT_ON_CONDITION</w:t>
        <w:br/>
        <w:t>- DEPENDENT_ON_SUBMODULE</w:t>
        <w:br/>
        <w:t>- TRIGGER_OR_TREATMENT_MODULE</w:t>
        <w:br/>
        <w:t>- ENCOUNTER_ACTIVITY_ONLY</w:t>
        <w:br/>
        <w:br/>
        <w:t>Posteriormente:</w:t>
        <w:br/>
        <w:t>1. Ejecutar solo los módulos autónomos con cohortes mayores.</w:t>
        <w:br/>
        <w:t>2. Ejecutar módulos dependientes junto a sus precursores.</w:t>
        <w:br/>
        <w:t>3. Analizar el rendimiento de covid19.</w:t>
        <w:br/>
        <w:t>4. Preparar la evidencia final para la memoria del proyecto.</w:t>
      </w:r>
    </w:p>
    <w:p>
      <w:pPr>
        <w:pStyle w:val="Heading2"/>
      </w:pPr>
      <w:r>
        <w:t>12. Estado del proyecto al cerrar esta sesión</w:t>
      </w:r>
    </w:p>
    <w:p>
      <w:r>
        <w:rPr>
          <w:sz w:val="22"/>
        </w:rPr>
        <w:t>✔ Hipertensión validada.</w:t>
        <w:br/>
        <w:t>✔ Compatibilidad parser: completa.</w:t>
        <w:br/>
        <w:t>✔ Compatibilidad runtime: 85/85.</w:t>
        <w:br/>
        <w:t>✔ Smoke test avanzado implementado.</w:t>
        <w:br/>
        <w:t>✔ Evidencias reproducibles generadas.</w:t>
        <w:br/>
        <w:br/>
        <w:t>Siguiente conversación:</w:t>
        <w:br/>
        <w:t>Continuar directamente con la auditoría de alcanzabilidad clínica de los 60 módulos ENCOUNTERS_ONLY, sin repetir el trabajo realizado.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