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4E78"/>
          <w:sz w:val="52"/>
        </w:rPr>
        <w:t>ACTUALIZACIÓN INTEGRAL DEL PROYECTO</w:t>
      </w:r>
    </w:p>
    <w:p>
      <w:pPr>
        <w:jc w:val="center"/>
      </w:pPr>
      <w:r>
        <w:rPr>
          <w:color w:val="444444"/>
          <w:sz w:val="32"/>
        </w:rPr>
        <w:t>Validación científica de Psynthea (Python) frente a Synthea (Java)</w:t>
      </w:r>
    </w:p>
    <w:p>
      <w:pPr>
        <w:spacing w:before="480"/>
        <w:jc w:val="center"/>
      </w:pPr>
      <w:r>
        <w:rPr>
          <w:b/>
          <w:color w:val="2E74B5"/>
          <w:sz w:val="28"/>
        </w:rPr>
        <w:t>Cierre de campaña p1000 y plan de finalización en 10 horas</w:t>
      </w:r>
    </w:p>
    <w:p>
      <w:pPr>
        <w:spacing w:before="1400"/>
        <w:jc w:val="center"/>
      </w:pPr>
      <w:r>
        <w:rPr>
          <w:sz w:val="22"/>
        </w:rPr>
        <w:t>Estado consolidado a 30 de julio de 2026</w:t>
      </w:r>
    </w:p>
    <w:p>
      <w:pPr>
        <w:jc w:val="center"/>
      </w:pPr>
      <w:r>
        <w:rPr>
          <w:i/>
          <w:color w:val="646464"/>
          <w:sz w:val="20"/>
        </w:rPr>
        <w:t>Documento de continuidad para el siguiente chat y para las Fuentes del proyecto</w:t>
      </w:r>
    </w:p>
    <w:p>
      <w:r>
        <w:br w:type="page"/>
      </w:r>
    </w:p>
    <w:p>
      <w:pPr>
        <w:pStyle w:val="Heading1"/>
      </w:pPr>
      <w:r>
        <w:t>1. Resumen ejecutivo</w:t>
      </w:r>
    </w:p>
    <w:p>
      <w:r>
        <w:rPr>
          <w:b/>
        </w:rPr>
        <w:t xml:space="preserve">Resultado principal. </w:t>
      </w:r>
      <w:r>
        <w:t>La infraestructura de validación ha quedado estabilizada y la campaña científica completa con población 1000 ha finalizado con 85/85 módulos ejecutados correctamente, todos en el primer intento. La campaña p1000 constituye la evidencia experimental principal disponible para el cierre del proyecto.</w:t>
      </w:r>
    </w:p>
    <w:tbl>
      <w:tblPr>
        <w:tblStyle w:val="TableGrid"/>
        <w:tblW w:type="auto" w:w="0"/>
        <w:jc w:val="center"/>
        <w:tblLook w:firstColumn="1" w:firstRow="1" w:lastColumn="0" w:lastRow="0" w:noHBand="0" w:noVBand="1" w:val="04A0"/>
      </w:tblPr>
      <w:tblGrid>
        <w:gridCol w:w="9936"/>
      </w:tblGrid>
      <w:tr>
        <w:tc>
          <w:tcPr>
            <w:tcW w:type="dxa" w:w="9936"/>
            <w:shd w:fill="FFF2CC"/>
          </w:tcPr>
          <w:p>
            <w:r/>
            <w:r>
              <w:rPr>
                <w:b/>
                <w:color w:val="1F4E78"/>
                <w:sz w:val="20"/>
              </w:rPr>
              <w:t>Decisión estratégica de cierre</w:t>
            </w:r>
          </w:p>
          <w:p>
            <w:pPr>
              <w:spacing w:after="0"/>
            </w:pPr>
            <w:r>
              <w:t>Quedan aproximadamente 10 horas. No se debe iniciar otra campaña global ni perseguir equivalencia total. El máximo valor científico se obtendrá consolidando la evidencia, clasificando las discrepancias, investigando únicamente fallos funcionales de alto impacto y redactando una conclusión rigurosa y reproducible.</w:t>
            </w:r>
          </w:p>
        </w:tc>
      </w:tr>
    </w:tbl>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F4E78"/>
          </w:tcPr>
          <w:p>
            <w:r/>
            <w:r>
              <w:rPr>
                <w:b/>
                <w:color w:val="FFFFFF"/>
                <w:sz w:val="18"/>
              </w:rPr>
              <w:t>Indicador</w:t>
            </w:r>
          </w:p>
        </w:tc>
        <w:tc>
          <w:tcPr>
            <w:tcW w:type="dxa" w:w="5040"/>
            <w:vAlign w:val="center"/>
            <w:shd w:fill="1F4E78"/>
          </w:tcPr>
          <w:p>
            <w:r/>
            <w:r>
              <w:rPr>
                <w:b/>
                <w:color w:val="FFFFFF"/>
                <w:sz w:val="18"/>
              </w:rPr>
              <w:t>Resultado p1000</w:t>
            </w:r>
          </w:p>
        </w:tc>
      </w:tr>
      <w:tr>
        <w:tc>
          <w:tcPr>
            <w:tcW w:type="dxa" w:w="3888"/>
            <w:vAlign w:val="center"/>
          </w:tcPr>
          <w:p>
            <w:r/>
            <w:r>
              <w:rPr>
                <w:b w:val="0"/>
                <w:sz w:val="18"/>
              </w:rPr>
              <w:t>Módulos esperados / agregados</w:t>
            </w:r>
          </w:p>
        </w:tc>
        <w:tc>
          <w:tcPr>
            <w:tcW w:type="dxa" w:w="5040"/>
            <w:vAlign w:val="center"/>
          </w:tcPr>
          <w:p>
            <w:r/>
            <w:r>
              <w:rPr>
                <w:b w:val="0"/>
                <w:sz w:val="18"/>
              </w:rPr>
              <w:t>85 / 85</w:t>
            </w:r>
          </w:p>
        </w:tc>
      </w:tr>
      <w:tr>
        <w:tc>
          <w:tcPr>
            <w:tcW w:type="dxa" w:w="3888"/>
            <w:vAlign w:val="center"/>
            <w:shd w:fill="EAF2F8"/>
          </w:tcPr>
          <w:p>
            <w:r/>
            <w:r>
              <w:rPr>
                <w:b w:val="0"/>
                <w:sz w:val="18"/>
              </w:rPr>
              <w:t>Ejecuciones correctas</w:t>
            </w:r>
          </w:p>
        </w:tc>
        <w:tc>
          <w:tcPr>
            <w:tcW w:type="dxa" w:w="5040"/>
            <w:vAlign w:val="center"/>
            <w:shd w:fill="EAF2F8"/>
          </w:tcPr>
          <w:p>
            <w:r/>
            <w:r>
              <w:rPr>
                <w:b w:val="0"/>
                <w:sz w:val="18"/>
              </w:rPr>
              <w:t>85 (100 %)</w:t>
            </w:r>
          </w:p>
        </w:tc>
      </w:tr>
      <w:tr>
        <w:tc>
          <w:tcPr>
            <w:tcW w:type="dxa" w:w="3888"/>
            <w:vAlign w:val="center"/>
          </w:tcPr>
          <w:p>
            <w:r/>
            <w:r>
              <w:rPr>
                <w:b w:val="0"/>
                <w:sz w:val="18"/>
              </w:rPr>
              <w:t>Reintentos necesarios</w:t>
            </w:r>
          </w:p>
        </w:tc>
        <w:tc>
          <w:tcPr>
            <w:tcW w:type="dxa" w:w="5040"/>
            <w:vAlign w:val="center"/>
          </w:tcPr>
          <w:p>
            <w:r/>
            <w:r>
              <w:rPr>
                <w:b w:val="0"/>
                <w:sz w:val="18"/>
              </w:rPr>
              <w:t>0</w:t>
            </w:r>
          </w:p>
        </w:tc>
      </w:tr>
      <w:tr>
        <w:tc>
          <w:tcPr>
            <w:tcW w:type="dxa" w:w="3888"/>
            <w:vAlign w:val="center"/>
            <w:shd w:fill="EAF2F8"/>
          </w:tcPr>
          <w:p>
            <w:r/>
            <w:r>
              <w:rPr>
                <w:b w:val="0"/>
                <w:sz w:val="18"/>
              </w:rPr>
              <w:t>Decisión REVIEW</w:t>
            </w:r>
          </w:p>
        </w:tc>
        <w:tc>
          <w:tcPr>
            <w:tcW w:type="dxa" w:w="5040"/>
            <w:vAlign w:val="center"/>
            <w:shd w:fill="EAF2F8"/>
          </w:tcPr>
          <w:p>
            <w:r/>
            <w:r>
              <w:rPr>
                <w:b w:val="0"/>
                <w:sz w:val="18"/>
              </w:rPr>
              <w:t>50 módulos</w:t>
            </w:r>
          </w:p>
        </w:tc>
      </w:tr>
      <w:tr>
        <w:tc>
          <w:tcPr>
            <w:tcW w:type="dxa" w:w="3888"/>
            <w:vAlign w:val="center"/>
          </w:tcPr>
          <w:p>
            <w:r/>
            <w:r>
              <w:rPr>
                <w:b w:val="0"/>
                <w:sz w:val="18"/>
              </w:rPr>
              <w:t>Decisión NOT_COMPARABLE</w:t>
            </w:r>
          </w:p>
        </w:tc>
        <w:tc>
          <w:tcPr>
            <w:tcW w:type="dxa" w:w="5040"/>
            <w:vAlign w:val="center"/>
          </w:tcPr>
          <w:p>
            <w:r/>
            <w:r>
              <w:rPr>
                <w:b w:val="0"/>
                <w:sz w:val="18"/>
              </w:rPr>
              <w:t>35 módulos</w:t>
            </w:r>
          </w:p>
        </w:tc>
      </w:tr>
      <w:tr>
        <w:tc>
          <w:tcPr>
            <w:tcW w:type="dxa" w:w="3888"/>
            <w:vAlign w:val="center"/>
            <w:shd w:fill="EAF2F8"/>
          </w:tcPr>
          <w:p>
            <w:r/>
            <w:r>
              <w:rPr>
                <w:b w:val="0"/>
                <w:sz w:val="18"/>
              </w:rPr>
              <w:t>Estado comparable</w:t>
            </w:r>
          </w:p>
        </w:tc>
        <w:tc>
          <w:tcPr>
            <w:tcW w:type="dxa" w:w="5040"/>
            <w:vAlign w:val="center"/>
            <w:shd w:fill="EAF2F8"/>
          </w:tcPr>
          <w:p>
            <w:r/>
            <w:r>
              <w:rPr>
                <w:b w:val="0"/>
                <w:sz w:val="18"/>
              </w:rPr>
              <w:t>18 módulos</w:t>
            </w:r>
          </w:p>
        </w:tc>
      </w:tr>
      <w:tr>
        <w:tc>
          <w:tcPr>
            <w:tcW w:type="dxa" w:w="3888"/>
            <w:vAlign w:val="center"/>
          </w:tcPr>
          <w:p>
            <w:r/>
            <w:r>
              <w:rPr>
                <w:b w:val="0"/>
                <w:sz w:val="18"/>
              </w:rPr>
              <w:t>Estado parcialmente comparable</w:t>
            </w:r>
          </w:p>
        </w:tc>
        <w:tc>
          <w:tcPr>
            <w:tcW w:type="dxa" w:w="5040"/>
            <w:vAlign w:val="center"/>
          </w:tcPr>
          <w:p>
            <w:r/>
            <w:r>
              <w:rPr>
                <w:b w:val="0"/>
                <w:sz w:val="18"/>
              </w:rPr>
              <w:t>20 módulos</w:t>
            </w:r>
          </w:p>
        </w:tc>
      </w:tr>
      <w:tr>
        <w:tc>
          <w:tcPr>
            <w:tcW w:type="dxa" w:w="3888"/>
            <w:vAlign w:val="center"/>
            <w:shd w:fill="EAF2F8"/>
          </w:tcPr>
          <w:p>
            <w:r/>
            <w:r>
              <w:rPr>
                <w:b w:val="0"/>
                <w:sz w:val="18"/>
              </w:rPr>
              <w:t>Reference empty</w:t>
            </w:r>
          </w:p>
        </w:tc>
        <w:tc>
          <w:tcPr>
            <w:tcW w:type="dxa" w:w="5040"/>
            <w:vAlign w:val="center"/>
            <w:shd w:fill="EAF2F8"/>
          </w:tcPr>
          <w:p>
            <w:r/>
            <w:r>
              <w:rPr>
                <w:b w:val="0"/>
                <w:sz w:val="18"/>
              </w:rPr>
              <w:t>35 módulos</w:t>
            </w:r>
          </w:p>
        </w:tc>
      </w:tr>
      <w:tr>
        <w:tc>
          <w:tcPr>
            <w:tcW w:type="dxa" w:w="3888"/>
            <w:vAlign w:val="center"/>
          </w:tcPr>
          <w:p>
            <w:r/>
            <w:r>
              <w:rPr>
                <w:b w:val="0"/>
                <w:sz w:val="18"/>
              </w:rPr>
              <w:t>Psynthea functional failure</w:t>
            </w:r>
          </w:p>
        </w:tc>
        <w:tc>
          <w:tcPr>
            <w:tcW w:type="dxa" w:w="5040"/>
            <w:vAlign w:val="center"/>
          </w:tcPr>
          <w:p>
            <w:r/>
            <w:r>
              <w:rPr>
                <w:b w:val="0"/>
                <w:sz w:val="18"/>
              </w:rPr>
              <w:t>12 módulos</w:t>
            </w:r>
          </w:p>
        </w:tc>
      </w:tr>
      <w:tr>
        <w:tc>
          <w:tcPr>
            <w:tcW w:type="dxa" w:w="3888"/>
            <w:vAlign w:val="center"/>
            <w:shd w:fill="EAF2F8"/>
          </w:tcPr>
          <w:p>
            <w:r/>
            <w:r>
              <w:rPr>
                <w:b w:val="0"/>
                <w:sz w:val="18"/>
              </w:rPr>
              <w:t>Research-use-ready</w:t>
            </w:r>
          </w:p>
        </w:tc>
        <w:tc>
          <w:tcPr>
            <w:tcW w:type="dxa" w:w="5040"/>
            <w:vAlign w:val="center"/>
            <w:shd w:fill="EAF2F8"/>
          </w:tcPr>
          <w:p>
            <w:r/>
            <w:r>
              <w:rPr>
                <w:b w:val="0"/>
                <w:sz w:val="18"/>
              </w:rPr>
              <w:t>0/85 según el criterio conservador actual</w:t>
            </w:r>
          </w:p>
        </w:tc>
      </w:tr>
      <w:tr>
        <w:tc>
          <w:tcPr>
            <w:tcW w:type="dxa" w:w="3888"/>
            <w:vAlign w:val="center"/>
          </w:tcPr>
          <w:p>
            <w:r/>
            <w:r>
              <w:rPr>
                <w:b w:val="0"/>
                <w:sz w:val="18"/>
              </w:rPr>
              <w:t>Módulo más costoso</w:t>
            </w:r>
          </w:p>
        </w:tc>
        <w:tc>
          <w:tcPr>
            <w:tcW w:type="dxa" w:w="5040"/>
            <w:vAlign w:val="center"/>
          </w:tcPr>
          <w:p>
            <w:r/>
            <w:r>
              <w:rPr>
                <w:b w:val="0"/>
                <w:sz w:val="18"/>
              </w:rPr>
              <w:t>covid19: 3019,39 s (~50 min 19 s)</w:t>
            </w:r>
          </w:p>
        </w:tc>
      </w:tr>
    </w:tbl>
    <w:p/>
    <w:p>
      <w:pPr>
        <w:pStyle w:val="Heading1"/>
      </w:pPr>
      <w:r>
        <w:t>2. Objetivo original y alcance real del trabajo</w:t>
      </w:r>
    </w:p>
    <w:p>
      <w:r>
        <w:t>El objetivo del proyecto es determinar en qué medida Psynthea, implementación en Python, reproduce el comportamiento funcional y las distribuciones clínicas generadas por Synthea, implementación de referencia en Java, bajo configuraciones comparables. El objetivo no es demostrar identidad bit a bit ni forzar que todos los módulos produzcan exactamente los mismos recuentos, sino establecer una evaluación reproducible, trazable y científicamente defendible de equivalencia, comparabilidad parcial, ausencia de evidencia o fallo funcional.</w:t>
      </w:r>
    </w:p>
    <w:p>
      <w:pPr>
        <w:pStyle w:val="ListBullet"/>
      </w:pPr>
      <w:r>
        <w:t>No modificar Synthea: la referencia permanece intacta; las correcciones se realizan en Psynthea o en el framework de validación.</w:t>
      </w:r>
    </w:p>
    <w:p>
      <w:pPr>
        <w:pStyle w:val="ListBullet"/>
      </w:pPr>
      <w:r>
        <w:t>Usar semillas, tamaños de cohorte y ventanas temporales explícitos para que cada experimento pueda reproducirse.</w:t>
      </w:r>
    </w:p>
    <w:p>
      <w:pPr>
        <w:pStyle w:val="ListBullet"/>
      </w:pPr>
      <w:r>
        <w:t>Separar éxito técnico del pipeline de equivalencia científica: que una ejecución termine no implica que ambos simuladores sean equivalentes.</w:t>
      </w:r>
    </w:p>
    <w:p>
      <w:pPr>
        <w:pStyle w:val="ListBullet"/>
      </w:pPr>
      <w:r>
        <w:t>Interpretar los módulos sin eventos de referencia como ausencia de evidencia comparativa, no automáticamente como defecto de Psynthea.</w:t>
      </w:r>
    </w:p>
    <w:p>
      <w:pPr>
        <w:pStyle w:val="ListBullet"/>
      </w:pPr>
      <w:r>
        <w:t>Priorizar diferencias funcionales o clínicas de impacto y evitar optimizaciones cosméticas sin valor científico.</w:t>
      </w:r>
    </w:p>
    <w:p>
      <w:pPr>
        <w:pStyle w:val="Heading1"/>
      </w:pPr>
      <w:r>
        <w:t>3. Trabajo realizado en esta fase</w:t>
      </w:r>
    </w:p>
    <w:p>
      <w:pPr>
        <w:pStyle w:val="Heading2"/>
      </w:pPr>
      <w:r>
        <w:t>3.1. Campaña preliminar y detección de seis fallos</w:t>
      </w:r>
    </w:p>
    <w:p>
      <w:r>
        <w:t>La primera campaña completa con población 100 reveló que 79 de 85 módulos terminaban correctamente y seis fallaban durante la generación del informe:</w:t>
      </w:r>
    </w:p>
    <w:p>
      <w:pPr>
        <w:pStyle w:val="ListBullet"/>
      </w:pPr>
      <w:r>
        <w:t>breast_cancer</w:t>
      </w:r>
    </w:p>
    <w:p>
      <w:pPr>
        <w:pStyle w:val="ListBullet"/>
      </w:pPr>
      <w:r>
        <w:t>colorectal_cancer</w:t>
      </w:r>
    </w:p>
    <w:p>
      <w:pPr>
        <w:pStyle w:val="ListBullet"/>
      </w:pPr>
      <w:r>
        <w:t>congestive_heart_failure</w:t>
      </w:r>
    </w:p>
    <w:p>
      <w:pPr>
        <w:pStyle w:val="ListBullet"/>
      </w:pPr>
      <w:r>
        <w:t>epilepsy</w:t>
      </w:r>
    </w:p>
    <w:p>
      <w:pPr>
        <w:pStyle w:val="ListBullet"/>
      </w:pPr>
      <w:r>
        <w:t>injuries</w:t>
      </w:r>
    </w:p>
    <w:p>
      <w:pPr>
        <w:pStyle w:val="ListBullet"/>
      </w:pPr>
      <w:r>
        <w:t>opioid_addiction</w:t>
      </w:r>
    </w:p>
    <w:p>
      <w:r>
        <w:t>Inicialmente, la capa de orquestación ocultaba el traceback real. Por ello, el fallo parecía pertenecer a los módulos clínicos, cuando en realidad se encontraba en la fase de reporting del framework de validación.</w:t>
      </w:r>
    </w:p>
    <w:p>
      <w:pPr>
        <w:pStyle w:val="Heading2"/>
      </w:pPr>
      <w:r>
        <w:t>3.2. Mejora del logging y corrección del intento de importación circular</w:t>
      </w:r>
    </w:p>
    <w:p>
      <w:r>
        <w:t>Para hacer visible la excepción se añadió logging en la orquestación. El primer intento importó el logger desde validation.cli, lo que introdujo una dependencia circular. La solución correcta fue definir un logger local por módulo:</w:t>
      </w:r>
    </w:p>
    <w:p>
      <w:r>
        <w:rPr>
          <w:rFonts w:ascii="Consolas" w:hAnsi="Consolas"/>
          <w:sz w:val="18"/>
        </w:rPr>
        <w:t>import logging</w:t>
        <w:br/>
        <w:t>_LOGGER = logging.getLogger(__name__)</w:t>
      </w:r>
    </w:p>
    <w:p>
      <w:r>
        <w:t>Esta modificación permitió conservar la arquitectura modular, evitar acoplamiento con la CLI y registrar el traceback completo sin alterar la lógica clínica.</w:t>
      </w:r>
    </w:p>
    <w:p>
      <w:pPr>
        <w:pStyle w:val="Heading2"/>
      </w:pPr>
      <w:r>
        <w:t>3.3. Identificación de la causa raíz: math domain error en forest_plot</w:t>
      </w:r>
    </w:p>
    <w:p>
      <w:r>
        <w:t>El traceback señaló validation/orchestration/stages/report.py, dentro de _forest_plot(...). El código intentaba calcular math.log(rr) con valores de risk ratio no válidos para escala logarítmica. La función validaba los límites del intervalo de confianza, pero no el propio risk ratio.</w:t>
      </w:r>
    </w:p>
    <w:p>
      <w:r>
        <w:t>Se endureció la función para descartar entradas cuando el RR o cualquiera de los límites del intervalo:</w:t>
      </w:r>
    </w:p>
    <w:p>
      <w:pPr>
        <w:pStyle w:val="ListBullet"/>
      </w:pPr>
      <w:r>
        <w:t>no es finito</w:t>
      </w:r>
    </w:p>
    <w:p>
      <w:pPr>
        <w:pStyle w:val="ListBullet"/>
      </w:pPr>
      <w:r>
        <w:t>es menor o igual que cero</w:t>
      </w:r>
    </w:p>
    <w:p>
      <w:pPr>
        <w:pStyle w:val="ListBullet"/>
      </w:pPr>
      <w:r>
        <w:t>presenta límites invertidos (lower &gt; upper)</w:t>
      </w:r>
    </w:p>
    <w:p>
      <w:r>
        <w:t>La corrección se limitó al reporting: no modificó los datos, las pruebas estadísticas ni el comportamiento de Psynthea. Su finalidad fue impedir que una visualización inválida derribase un experimento completo.</w:t>
      </w:r>
    </w:p>
    <w:p>
      <w:pPr>
        <w:pStyle w:val="Heading2"/>
      </w:pPr>
      <w:r>
        <w:t>3.4. Validación de la corrección y cierre de p100</w:t>
      </w:r>
    </w:p>
    <w:p>
      <w:r>
        <w:t>Después del parche se reejecutaron los seis módulos previamente fallidos. Todos finalizaron correctamente. La campaña p100 quedó cerrada con 85/85 módulos ejecutados, demostrando que los fallos anteriores eran de infraestructura de reporting y no fallos clínicos de los módulos.</w:t>
      </w:r>
    </w:p>
    <w:p>
      <w:r>
        <w:t>El agregado p100 produjo 43 módulos REVIEW y 42 NOT_COMPARABLE. Los estados internos fueron: 9 comparable, 20 partially_comparable, 42 reference_empty y 14 psynthea_functional_failure. Ningún módulo fue marcado research_use_ready por el criterio global conservador del informe.</w:t>
      </w:r>
    </w:p>
    <w:p>
      <w:pPr>
        <w:pStyle w:val="Heading2"/>
      </w:pPr>
      <w:r>
        <w:t>3.5. Lanzamiento de la campaña científica p1000</w:t>
      </w:r>
    </w:p>
    <w:p>
      <w:r>
        <w:t>Con la infraestructura estable se lanzó una nueva campaña completa con 1000 pacientes por módulo, población suficiente para reducir falsos vacíos por eventos raros y aumentar la capacidad descriptiva del experimento. El comando utilizado siguió la configuración all-compatible-modules-experiment.json y generó identificadores independientes terminados en -p1000.</w:t>
      </w:r>
    </w:p>
    <w:p>
      <w:r>
        <w:rPr>
          <w:rFonts w:ascii="Consolas" w:hAnsi="Consolas"/>
          <w:sz w:val="17"/>
        </w:rPr>
        <w:t>python scripts/run_module_campaign.py \</w:t>
        <w:br/>
        <w:t xml:space="preserve">  --config configs/all-compatible-modules-experiment.json \</w:t>
        <w:br/>
        <w:t xml:space="preserve">  --population 1000 \</w:t>
        <w:br/>
        <w:t xml:space="preserve">  --campaign-dir runs/module-scientific-campaign-p1000 \</w:t>
        <w:br/>
        <w:t xml:space="preserve">  --retries 0</w:t>
      </w:r>
    </w:p>
    <w:p>
      <w:r>
        <w:t>El estado de campaña registra 85 intentos, todos status=succeeded, return_code=0 y attempt=1. La ejecución se desarrolló entre 2026-07-29 10:45:17 UTC y 13:06:09 UTC.</w:t>
      </w:r>
    </w:p>
    <w:p>
      <w:pPr>
        <w:pStyle w:val="Heading1"/>
      </w:pPr>
      <w:r>
        <w:t>4. Comportamiento de ejecución de p1000</w:t>
      </w:r>
    </w:p>
    <w:p>
      <w:r>
        <w:t>La mayoría de módulos terminó aproximadamente en un minuto. La mediana excluyendo covid19 fue de 63.09 s y la media de 64.68 s. covid19 fue un outlier claro con 3019,39 s, pero mantuvo ~99 % de CPU y terminó correctamente; por tanto, no era un bloqueo sino una carga computacional legítima.</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F4E78"/>
          </w:tcPr>
          <w:p>
            <w:r/>
            <w:r>
              <w:rPr>
                <w:b/>
                <w:color w:val="FFFFFF"/>
                <w:sz w:val="18"/>
              </w:rPr>
              <w:t>Métrica temporal</w:t>
            </w:r>
          </w:p>
        </w:tc>
        <w:tc>
          <w:tcPr>
            <w:tcW w:type="dxa" w:w="4608"/>
            <w:vAlign w:val="center"/>
            <w:shd w:fill="1F4E78"/>
          </w:tcPr>
          <w:p>
            <w:r/>
            <w:r>
              <w:rPr>
                <w:b/>
                <w:color w:val="FFFFFF"/>
                <w:sz w:val="18"/>
              </w:rPr>
              <w:t>Valor</w:t>
            </w:r>
          </w:p>
        </w:tc>
      </w:tr>
      <w:tr>
        <w:tc>
          <w:tcPr>
            <w:tcW w:type="dxa" w:w="4320"/>
            <w:vAlign w:val="center"/>
          </w:tcPr>
          <w:p>
            <w:r/>
            <w:r>
              <w:rPr>
                <w:b w:val="0"/>
                <w:sz w:val="18"/>
              </w:rPr>
              <w:t>Duración total observada de campaña</w:t>
            </w:r>
          </w:p>
        </w:tc>
        <w:tc>
          <w:tcPr>
            <w:tcW w:type="dxa" w:w="4608"/>
            <w:vAlign w:val="center"/>
          </w:tcPr>
          <w:p>
            <w:r/>
            <w:r>
              <w:rPr>
                <w:b w:val="0"/>
                <w:sz w:val="18"/>
              </w:rPr>
              <w:t>2.35 h de suma de tareas</w:t>
            </w:r>
          </w:p>
        </w:tc>
      </w:tr>
      <w:tr>
        <w:tc>
          <w:tcPr>
            <w:tcW w:type="dxa" w:w="4320"/>
            <w:vAlign w:val="center"/>
            <w:shd w:fill="EAF2F8"/>
          </w:tcPr>
          <w:p>
            <w:r/>
            <w:r>
              <w:rPr>
                <w:b w:val="0"/>
                <w:sz w:val="18"/>
              </w:rPr>
              <w:t>Mediana por módulo, excluyendo covid19</w:t>
            </w:r>
          </w:p>
        </w:tc>
        <w:tc>
          <w:tcPr>
            <w:tcW w:type="dxa" w:w="4608"/>
            <w:vAlign w:val="center"/>
            <w:shd w:fill="EAF2F8"/>
          </w:tcPr>
          <w:p>
            <w:r/>
            <w:r>
              <w:rPr>
                <w:b w:val="0"/>
                <w:sz w:val="18"/>
              </w:rPr>
              <w:t>63.09 s</w:t>
            </w:r>
          </w:p>
        </w:tc>
      </w:tr>
      <w:tr>
        <w:tc>
          <w:tcPr>
            <w:tcW w:type="dxa" w:w="4320"/>
            <w:vAlign w:val="center"/>
          </w:tcPr>
          <w:p>
            <w:r/>
            <w:r>
              <w:rPr>
                <w:b w:val="0"/>
                <w:sz w:val="18"/>
              </w:rPr>
              <w:t>Media por módulo, excluyendo covid19</w:t>
            </w:r>
          </w:p>
        </w:tc>
        <w:tc>
          <w:tcPr>
            <w:tcW w:type="dxa" w:w="4608"/>
            <w:vAlign w:val="center"/>
          </w:tcPr>
          <w:p>
            <w:r/>
            <w:r>
              <w:rPr>
                <w:b w:val="0"/>
                <w:sz w:val="18"/>
              </w:rPr>
              <w:t>64.68 s</w:t>
            </w:r>
          </w:p>
        </w:tc>
      </w:tr>
      <w:tr>
        <w:tc>
          <w:tcPr>
            <w:tcW w:type="dxa" w:w="4320"/>
            <w:vAlign w:val="center"/>
            <w:shd w:fill="EAF2F8"/>
          </w:tcPr>
          <w:p>
            <w:r/>
            <w:r>
              <w:rPr>
                <w:b w:val="0"/>
                <w:sz w:val="18"/>
              </w:rPr>
              <w:t>Máximo</w:t>
            </w:r>
          </w:p>
        </w:tc>
        <w:tc>
          <w:tcPr>
            <w:tcW w:type="dxa" w:w="4608"/>
            <w:vAlign w:val="center"/>
            <w:shd w:fill="EAF2F8"/>
          </w:tcPr>
          <w:p>
            <w:r/>
            <w:r>
              <w:rPr>
                <w:b w:val="0"/>
                <w:sz w:val="18"/>
              </w:rPr>
              <w:t>covid19: 3019.39 s</w:t>
            </w:r>
          </w:p>
        </w:tc>
      </w:tr>
      <w:tr>
        <w:tc>
          <w:tcPr>
            <w:tcW w:type="dxa" w:w="4320"/>
            <w:vAlign w:val="center"/>
          </w:tcPr>
          <w:p>
            <w:r/>
            <w:r>
              <w:rPr>
                <w:b w:val="0"/>
                <w:sz w:val="18"/>
              </w:rPr>
              <w:t>Segundo máximo</w:t>
            </w:r>
          </w:p>
        </w:tc>
        <w:tc>
          <w:tcPr>
            <w:tcW w:type="dxa" w:w="4608"/>
            <w:vAlign w:val="center"/>
          </w:tcPr>
          <w:p>
            <w:r/>
            <w:r>
              <w:rPr>
                <w:b w:val="0"/>
                <w:sz w:val="18"/>
              </w:rPr>
              <w:t>103.23 s</w:t>
            </w:r>
          </w:p>
        </w:tc>
      </w:tr>
      <w:tr>
        <w:tc>
          <w:tcPr>
            <w:tcW w:type="dxa" w:w="4320"/>
            <w:vAlign w:val="center"/>
            <w:shd w:fill="EAF2F8"/>
          </w:tcPr>
          <w:p>
            <w:r/>
            <w:r>
              <w:rPr>
                <w:b w:val="0"/>
                <w:sz w:val="18"/>
              </w:rPr>
              <w:t>Fallos / reintentos</w:t>
            </w:r>
          </w:p>
        </w:tc>
        <w:tc>
          <w:tcPr>
            <w:tcW w:type="dxa" w:w="4608"/>
            <w:vAlign w:val="center"/>
            <w:shd w:fill="EAF2F8"/>
          </w:tcPr>
          <w:p>
            <w:r/>
            <w:r>
              <w:rPr>
                <w:b w:val="0"/>
                <w:sz w:val="18"/>
              </w:rPr>
              <w:t>0 / 0</w:t>
            </w:r>
          </w:p>
        </w:tc>
      </w:tr>
    </w:tbl>
    <w:p/>
    <w:p>
      <w:r>
        <w:t>Conclusión operativa: el framework soporta campañas completas p1000. covid19 debe tratarse como módulo de alto coste y no como indicio de deadlock. No se justifica optimizarlo durante las 10 horas finales salvo que el rendimiento sea un entregable explícito.</w:t>
      </w:r>
    </w:p>
    <w:p>
      <w:pPr>
        <w:pStyle w:val="Heading1"/>
      </w:pPr>
      <w:r>
        <w:t>5. Resultado agregado exacto de p1000</w:t>
      </w:r>
    </w:p>
    <w:p>
      <w:r>
        <w:t>El artefacto agregado contiene 85 filas y no recalcula las pruebas: consolida la evidencia persistida en cada scientific_report.json. Debe interpretarse con las limitaciones declaradas por el propio agregador.</w:t>
      </w:r>
    </w:p>
    <w:tbl>
      <w:tblPr>
        <w:tblStyle w:val="TableGrid"/>
        <w:tblW w:type="auto" w:w="0"/>
        <w:jc w:val="center"/>
        <w:tblLook w:firstColumn="1" w:firstRow="1" w:lastColumn="0" w:lastRow="0" w:noHBand="0" w:noVBand="1" w:val="04A0"/>
      </w:tblPr>
      <w:tblGrid>
        <w:gridCol w:w="3312"/>
        <w:gridCol w:w="3312"/>
        <w:gridCol w:w="3312"/>
      </w:tblGrid>
      <w:tr>
        <w:tc>
          <w:tcPr>
            <w:tcW w:type="dxa" w:w="4320"/>
            <w:vAlign w:val="center"/>
            <w:shd w:fill="1F4E78"/>
          </w:tcPr>
          <w:p>
            <w:r/>
            <w:r>
              <w:rPr>
                <w:b/>
                <w:color w:val="FFFFFF"/>
                <w:sz w:val="18"/>
              </w:rPr>
              <w:t>Clasificación</w:t>
            </w:r>
          </w:p>
        </w:tc>
        <w:tc>
          <w:tcPr>
            <w:tcW w:type="dxa" w:w="1440"/>
            <w:vAlign w:val="center"/>
            <w:shd w:fill="1F4E78"/>
          </w:tcPr>
          <w:p>
            <w:r/>
            <w:r>
              <w:rPr>
                <w:b/>
                <w:color w:val="FFFFFF"/>
                <w:sz w:val="18"/>
              </w:rPr>
              <w:t>N</w:t>
            </w:r>
          </w:p>
        </w:tc>
        <w:tc>
          <w:tcPr>
            <w:tcW w:type="dxa" w:w="2160"/>
            <w:vAlign w:val="center"/>
            <w:shd w:fill="1F4E78"/>
          </w:tcPr>
          <w:p>
            <w:r/>
            <w:r>
              <w:rPr>
                <w:b/>
                <w:color w:val="FFFFFF"/>
                <w:sz w:val="18"/>
              </w:rPr>
              <w:t>Porcentaje</w:t>
            </w:r>
          </w:p>
        </w:tc>
      </w:tr>
      <w:tr>
        <w:tc>
          <w:tcPr>
            <w:tcW w:type="dxa" w:w="4320"/>
            <w:vAlign w:val="center"/>
          </w:tcPr>
          <w:p>
            <w:r/>
            <w:r>
              <w:rPr>
                <w:b w:val="0"/>
                <w:sz w:val="18"/>
              </w:rPr>
              <w:t>Comparable</w:t>
            </w:r>
          </w:p>
        </w:tc>
        <w:tc>
          <w:tcPr>
            <w:tcW w:type="dxa" w:w="1440"/>
            <w:vAlign w:val="center"/>
          </w:tcPr>
          <w:p>
            <w:r/>
            <w:r>
              <w:rPr>
                <w:b w:val="0"/>
                <w:sz w:val="18"/>
              </w:rPr>
              <w:t>18</w:t>
            </w:r>
          </w:p>
        </w:tc>
        <w:tc>
          <w:tcPr>
            <w:tcW w:type="dxa" w:w="2160"/>
            <w:vAlign w:val="center"/>
          </w:tcPr>
          <w:p>
            <w:r/>
            <w:r>
              <w:rPr>
                <w:b w:val="0"/>
                <w:sz w:val="18"/>
              </w:rPr>
              <w:t>21,18 %</w:t>
            </w:r>
          </w:p>
        </w:tc>
      </w:tr>
      <w:tr>
        <w:tc>
          <w:tcPr>
            <w:tcW w:type="dxa" w:w="4320"/>
            <w:vAlign w:val="center"/>
            <w:shd w:fill="EAF2F8"/>
          </w:tcPr>
          <w:p>
            <w:r/>
            <w:r>
              <w:rPr>
                <w:b w:val="0"/>
                <w:sz w:val="18"/>
              </w:rPr>
              <w:t>Partially comparable</w:t>
            </w:r>
          </w:p>
        </w:tc>
        <w:tc>
          <w:tcPr>
            <w:tcW w:type="dxa" w:w="1440"/>
            <w:vAlign w:val="center"/>
            <w:shd w:fill="EAF2F8"/>
          </w:tcPr>
          <w:p>
            <w:r/>
            <w:r>
              <w:rPr>
                <w:b w:val="0"/>
                <w:sz w:val="18"/>
              </w:rPr>
              <w:t>20</w:t>
            </w:r>
          </w:p>
        </w:tc>
        <w:tc>
          <w:tcPr>
            <w:tcW w:type="dxa" w:w="2160"/>
            <w:vAlign w:val="center"/>
            <w:shd w:fill="EAF2F8"/>
          </w:tcPr>
          <w:p>
            <w:r/>
            <w:r>
              <w:rPr>
                <w:b w:val="0"/>
                <w:sz w:val="18"/>
              </w:rPr>
              <w:t>23,53 %</w:t>
            </w:r>
          </w:p>
        </w:tc>
      </w:tr>
      <w:tr>
        <w:tc>
          <w:tcPr>
            <w:tcW w:type="dxa" w:w="4320"/>
            <w:vAlign w:val="center"/>
          </w:tcPr>
          <w:p>
            <w:r/>
            <w:r>
              <w:rPr>
                <w:b w:val="0"/>
                <w:sz w:val="18"/>
              </w:rPr>
              <w:t>Reference empty</w:t>
            </w:r>
          </w:p>
        </w:tc>
        <w:tc>
          <w:tcPr>
            <w:tcW w:type="dxa" w:w="1440"/>
            <w:vAlign w:val="center"/>
          </w:tcPr>
          <w:p>
            <w:r/>
            <w:r>
              <w:rPr>
                <w:b w:val="0"/>
                <w:sz w:val="18"/>
              </w:rPr>
              <w:t>35</w:t>
            </w:r>
          </w:p>
        </w:tc>
        <w:tc>
          <w:tcPr>
            <w:tcW w:type="dxa" w:w="2160"/>
            <w:vAlign w:val="center"/>
          </w:tcPr>
          <w:p>
            <w:r/>
            <w:r>
              <w:rPr>
                <w:b w:val="0"/>
                <w:sz w:val="18"/>
              </w:rPr>
              <w:t>41,18 %</w:t>
            </w:r>
          </w:p>
        </w:tc>
      </w:tr>
      <w:tr>
        <w:tc>
          <w:tcPr>
            <w:tcW w:type="dxa" w:w="4320"/>
            <w:vAlign w:val="center"/>
            <w:shd w:fill="EAF2F8"/>
          </w:tcPr>
          <w:p>
            <w:r/>
            <w:r>
              <w:rPr>
                <w:b w:val="0"/>
                <w:sz w:val="18"/>
              </w:rPr>
              <w:t>Psynthea functional failure</w:t>
            </w:r>
          </w:p>
        </w:tc>
        <w:tc>
          <w:tcPr>
            <w:tcW w:type="dxa" w:w="1440"/>
            <w:vAlign w:val="center"/>
            <w:shd w:fill="EAF2F8"/>
          </w:tcPr>
          <w:p>
            <w:r/>
            <w:r>
              <w:rPr>
                <w:b w:val="0"/>
                <w:sz w:val="18"/>
              </w:rPr>
              <w:t>12</w:t>
            </w:r>
          </w:p>
        </w:tc>
        <w:tc>
          <w:tcPr>
            <w:tcW w:type="dxa" w:w="2160"/>
            <w:vAlign w:val="center"/>
            <w:shd w:fill="EAF2F8"/>
          </w:tcPr>
          <w:p>
            <w:r/>
            <w:r>
              <w:rPr>
                <w:b w:val="0"/>
                <w:sz w:val="18"/>
              </w:rPr>
              <w:t>14,12 %</w:t>
            </w:r>
          </w:p>
        </w:tc>
      </w:tr>
      <w:tr>
        <w:tc>
          <w:tcPr>
            <w:tcW w:type="dxa" w:w="4320"/>
            <w:vAlign w:val="center"/>
          </w:tcPr>
          <w:p>
            <w:r/>
            <w:r>
              <w:rPr>
                <w:b w:val="0"/>
                <w:sz w:val="18"/>
              </w:rPr>
              <w:t>Total</w:t>
            </w:r>
          </w:p>
        </w:tc>
        <w:tc>
          <w:tcPr>
            <w:tcW w:type="dxa" w:w="1440"/>
            <w:vAlign w:val="center"/>
          </w:tcPr>
          <w:p>
            <w:r/>
            <w:r>
              <w:rPr>
                <w:b w:val="0"/>
                <w:sz w:val="18"/>
              </w:rPr>
              <w:t>85</w:t>
            </w:r>
          </w:p>
        </w:tc>
        <w:tc>
          <w:tcPr>
            <w:tcW w:type="dxa" w:w="2160"/>
            <w:vAlign w:val="center"/>
          </w:tcPr>
          <w:p>
            <w:r/>
            <w:r>
              <w:rPr>
                <w:b w:val="0"/>
                <w:sz w:val="18"/>
              </w:rPr>
              <w:t>100 %</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8"/>
          </w:tcPr>
          <w:p>
            <w:r/>
            <w:r>
              <w:rPr>
                <w:b/>
                <w:color w:val="FFFFFF"/>
                <w:sz w:val="18"/>
              </w:rPr>
              <w:t>Bucket de decisión</w:t>
            </w:r>
          </w:p>
        </w:tc>
        <w:tc>
          <w:tcPr>
            <w:tcW w:type="dxa" w:w="1008"/>
            <w:vAlign w:val="center"/>
            <w:shd w:fill="1F4E78"/>
          </w:tcPr>
          <w:p>
            <w:r/>
            <w:r>
              <w:rPr>
                <w:b/>
                <w:color w:val="FFFFFF"/>
                <w:sz w:val="18"/>
              </w:rPr>
              <w:t>N</w:t>
            </w:r>
          </w:p>
        </w:tc>
        <w:tc>
          <w:tcPr>
            <w:tcW w:type="dxa" w:w="6048"/>
            <w:vAlign w:val="center"/>
            <w:shd w:fill="1F4E78"/>
          </w:tcPr>
          <w:p>
            <w:r/>
            <w:r>
              <w:rPr>
                <w:b/>
                <w:color w:val="FFFFFF"/>
                <w:sz w:val="18"/>
              </w:rPr>
              <w:t>Interpretación</w:t>
            </w:r>
          </w:p>
        </w:tc>
      </w:tr>
      <w:tr>
        <w:tc>
          <w:tcPr>
            <w:tcW w:type="dxa" w:w="2448"/>
            <w:vAlign w:val="center"/>
          </w:tcPr>
          <w:p>
            <w:r/>
            <w:r>
              <w:rPr>
                <w:b w:val="0"/>
                <w:sz w:val="17"/>
              </w:rPr>
              <w:t>REVIEW</w:t>
            </w:r>
          </w:p>
        </w:tc>
        <w:tc>
          <w:tcPr>
            <w:tcW w:type="dxa" w:w="1008"/>
            <w:vAlign w:val="center"/>
          </w:tcPr>
          <w:p>
            <w:r/>
            <w:r>
              <w:rPr>
                <w:b w:val="0"/>
                <w:sz w:val="17"/>
              </w:rPr>
              <w:t>50</w:t>
            </w:r>
          </w:p>
        </w:tc>
        <w:tc>
          <w:tcPr>
            <w:tcW w:type="dxa" w:w="6048"/>
            <w:vAlign w:val="center"/>
          </w:tcPr>
          <w:p>
            <w:r/>
            <w:r>
              <w:rPr>
                <w:b w:val="0"/>
                <w:sz w:val="17"/>
              </w:rPr>
              <w:t>Existe evidencia que requiere revisión; incluye comparable, parcialmente comparable y fallos funcionales.</w:t>
            </w:r>
          </w:p>
        </w:tc>
      </w:tr>
      <w:tr>
        <w:tc>
          <w:tcPr>
            <w:tcW w:type="dxa" w:w="2448"/>
            <w:vAlign w:val="center"/>
            <w:shd w:fill="EAF2F8"/>
          </w:tcPr>
          <w:p>
            <w:r/>
            <w:r>
              <w:rPr>
                <w:b w:val="0"/>
                <w:sz w:val="17"/>
              </w:rPr>
              <w:t>NOT_COMPARABLE</w:t>
            </w:r>
          </w:p>
        </w:tc>
        <w:tc>
          <w:tcPr>
            <w:tcW w:type="dxa" w:w="1008"/>
            <w:vAlign w:val="center"/>
            <w:shd w:fill="EAF2F8"/>
          </w:tcPr>
          <w:p>
            <w:r/>
            <w:r>
              <w:rPr>
                <w:b w:val="0"/>
                <w:sz w:val="17"/>
              </w:rPr>
              <w:t>35</w:t>
            </w:r>
          </w:p>
        </w:tc>
        <w:tc>
          <w:tcPr>
            <w:tcW w:type="dxa" w:w="6048"/>
            <w:vAlign w:val="center"/>
            <w:shd w:fill="EAF2F8"/>
          </w:tcPr>
          <w:p>
            <w:r/>
            <w:r>
              <w:rPr>
                <w:b w:val="0"/>
                <w:sz w:val="17"/>
              </w:rPr>
              <w:t>No hay base comparativa suficiente; coincide con reference_empty en esta campaña.</w:t>
            </w:r>
          </w:p>
        </w:tc>
      </w:tr>
    </w:tbl>
    <w:p/>
    <w:tbl>
      <w:tblPr>
        <w:tblStyle w:val="TableGrid"/>
        <w:tblW w:type="auto" w:w="0"/>
        <w:jc w:val="center"/>
        <w:tblLook w:firstColumn="1" w:firstRow="1" w:lastColumn="0" w:lastRow="0" w:noHBand="0" w:noVBand="1" w:val="04A0"/>
      </w:tblPr>
      <w:tblGrid>
        <w:gridCol w:w="9936"/>
      </w:tblGrid>
      <w:tr>
        <w:tc>
          <w:tcPr>
            <w:tcW w:type="dxa" w:w="9936"/>
            <w:shd w:fill="D9EAF7"/>
          </w:tcPr>
          <w:p>
            <w:r/>
            <w:r>
              <w:rPr>
                <w:b/>
                <w:color w:val="1F4E78"/>
                <w:sz w:val="20"/>
              </w:rPr>
              <w:t>Advertencia metodológica</w:t>
            </w:r>
          </w:p>
          <w:p>
            <w:pPr>
              <w:spacing w:after="0"/>
            </w:pPr>
            <w:r>
              <w:t>Los 18 módulos con functional_status comparable siguen apareciendo como decisión REVIEW porque la decisión global incorpora capas adicionales (knowledge status, discrepancias bloqueantes, preparación para uso en investigación y causa raíz). “Comparable” no equivale automáticamente a “aprobado para sustitución”.</w:t>
            </w:r>
          </w:p>
        </w:tc>
      </w:tr>
    </w:tbl>
    <w:p/>
    <w:p>
      <w:pPr>
        <w:pStyle w:val="Heading1"/>
      </w:pPr>
      <w:r>
        <w:t>6. Clasificación de los 85 módulos</w:t>
      </w:r>
    </w:p>
    <w:p>
      <w:pPr>
        <w:pStyle w:val="Heading2"/>
      </w:pPr>
      <w:r>
        <w:t>6.1. Módulos comparables (18)</w:t>
      </w:r>
    </w:p>
    <w:p>
      <w:pPr>
        <w:pStyle w:val="ListBullet"/>
      </w:pPr>
      <w:r>
        <w:t>breast_cancer</w:t>
      </w:r>
    </w:p>
    <w:p>
      <w:pPr>
        <w:pStyle w:val="ListBullet"/>
      </w:pPr>
      <w:r>
        <w:t>colorectal_cancer</w:t>
      </w:r>
    </w:p>
    <w:p>
      <w:pPr>
        <w:pStyle w:val="ListBullet"/>
      </w:pPr>
      <w:r>
        <w:t>congestive_heart_failure</w:t>
      </w:r>
    </w:p>
    <w:p>
      <w:pPr>
        <w:pStyle w:val="ListBullet"/>
      </w:pPr>
      <w:r>
        <w:t>copd</w:t>
      </w:r>
    </w:p>
    <w:p>
      <w:pPr>
        <w:pStyle w:val="ListBullet"/>
      </w:pPr>
      <w:r>
        <w:t>dermatitis</w:t>
      </w:r>
    </w:p>
    <w:p>
      <w:pPr>
        <w:pStyle w:val="ListBullet"/>
      </w:pPr>
      <w:r>
        <w:t>fibromyalgia</w:t>
      </w:r>
    </w:p>
    <w:p>
      <w:pPr>
        <w:pStyle w:val="ListBullet"/>
      </w:pPr>
      <w:r>
        <w:t>gout</w:t>
      </w:r>
    </w:p>
    <w:p>
      <w:pPr>
        <w:pStyle w:val="ListBullet"/>
      </w:pPr>
      <w:r>
        <w:t>homelessness</w:t>
      </w:r>
    </w:p>
    <w:p>
      <w:pPr>
        <w:pStyle w:val="ListBullet"/>
      </w:pPr>
      <w:r>
        <w:t>hypertension</w:t>
      </w:r>
    </w:p>
    <w:p>
      <w:pPr>
        <w:pStyle w:val="ListBullet"/>
      </w:pPr>
      <w:r>
        <w:t>injuries</w:t>
      </w:r>
    </w:p>
    <w:p>
      <w:pPr>
        <w:pStyle w:val="ListBullet"/>
      </w:pPr>
      <w:r>
        <w:t>lung_cancer</w:t>
      </w:r>
    </w:p>
    <w:p>
      <w:pPr>
        <w:pStyle w:val="ListBullet"/>
      </w:pPr>
      <w:r>
        <w:t>opioid_addiction</w:t>
      </w:r>
    </w:p>
    <w:p>
      <w:pPr>
        <w:pStyle w:val="ListBullet"/>
      </w:pPr>
      <w:r>
        <w:t>osteoarthritis</w:t>
      </w:r>
    </w:p>
    <w:p>
      <w:pPr>
        <w:pStyle w:val="ListBullet"/>
      </w:pPr>
      <w:r>
        <w:t>osteoporosis</w:t>
      </w:r>
    </w:p>
    <w:p>
      <w:pPr>
        <w:pStyle w:val="ListBullet"/>
      </w:pPr>
      <w:r>
        <w:t>prescribing_opioids_for_chronic_pain_and_treatment_of_oud</w:t>
      </w:r>
    </w:p>
    <w:p>
      <w:pPr>
        <w:pStyle w:val="ListBullet"/>
      </w:pPr>
      <w:r>
        <w:t>sepsis</w:t>
      </w:r>
    </w:p>
    <w:p>
      <w:pPr>
        <w:pStyle w:val="ListBullet"/>
      </w:pPr>
      <w:r>
        <w:t>sore_throat</w:t>
      </w:r>
    </w:p>
    <w:p>
      <w:pPr>
        <w:pStyle w:val="ListBullet"/>
      </w:pPr>
      <w:r>
        <w:t>urinary_tract_infections</w:t>
      </w:r>
    </w:p>
    <w:p>
      <w:pPr>
        <w:pStyle w:val="Heading2"/>
      </w:pPr>
      <w:r>
        <w:t>6.2. Módulos parcialmente comparables (20)</w:t>
      </w:r>
    </w:p>
    <w:p>
      <w:pPr>
        <w:pStyle w:val="ListBullet"/>
      </w:pPr>
      <w:r>
        <w:t>AIS_From_School_Screening_to_SOSORT_Recommendations</w:t>
      </w:r>
    </w:p>
    <w:p>
      <w:pPr>
        <w:pStyle w:val="ListBullet"/>
      </w:pPr>
      <w:r>
        <w:t>appendicitis</w:t>
      </w:r>
    </w:p>
    <w:p>
      <w:pPr>
        <w:pStyle w:val="ListBullet"/>
      </w:pPr>
      <w:r>
        <w:t>asthma</w:t>
      </w:r>
    </w:p>
    <w:p>
      <w:pPr>
        <w:pStyle w:val="ListBullet"/>
      </w:pPr>
      <w:r>
        <w:t>attention_deficit_disorder</w:t>
      </w:r>
    </w:p>
    <w:p>
      <w:pPr>
        <w:pStyle w:val="ListBullet"/>
      </w:pPr>
      <w:r>
        <w:t>bronchitis</w:t>
      </w:r>
    </w:p>
    <w:p>
      <w:pPr>
        <w:pStyle w:val="ListBullet"/>
      </w:pPr>
      <w:r>
        <w:t>cerebral_palsy</w:t>
      </w:r>
    </w:p>
    <w:p>
      <w:pPr>
        <w:pStyle w:val="ListBullet"/>
      </w:pPr>
      <w:r>
        <w:t>chronic_kidney_disease</w:t>
      </w:r>
    </w:p>
    <w:p>
      <w:pPr>
        <w:pStyle w:val="ListBullet"/>
      </w:pPr>
      <w:r>
        <w:t>contraceptives</w:t>
      </w:r>
    </w:p>
    <w:p>
      <w:pPr>
        <w:pStyle w:val="ListBullet"/>
      </w:pPr>
      <w:r>
        <w:t>dementia</w:t>
      </w:r>
    </w:p>
    <w:p>
      <w:pPr>
        <w:pStyle w:val="ListBullet"/>
      </w:pPr>
      <w:r>
        <w:t>ear_infections</w:t>
      </w:r>
    </w:p>
    <w:p>
      <w:pPr>
        <w:pStyle w:val="ListBullet"/>
      </w:pPr>
      <w:r>
        <w:t>epilepsy</w:t>
      </w:r>
    </w:p>
    <w:p>
      <w:pPr>
        <w:pStyle w:val="ListBullet"/>
      </w:pPr>
      <w:r>
        <w:t>hiv_diagnosis</w:t>
      </w:r>
    </w:p>
    <w:p>
      <w:pPr>
        <w:pStyle w:val="ListBullet"/>
      </w:pPr>
      <w:r>
        <w:t>hypothyroidism</w:t>
      </w:r>
    </w:p>
    <w:p>
      <w:pPr>
        <w:pStyle w:val="ListBullet"/>
      </w:pPr>
      <w:r>
        <w:t>med_rec</w:t>
      </w:r>
    </w:p>
    <w:p>
      <w:pPr>
        <w:pStyle w:val="ListBullet"/>
      </w:pPr>
      <w:r>
        <w:t>rheumatoid_arthritis</w:t>
      </w:r>
    </w:p>
    <w:p>
      <w:pPr>
        <w:pStyle w:val="ListBullet"/>
      </w:pPr>
      <w:r>
        <w:t>sinusitis</w:t>
      </w:r>
    </w:p>
    <w:p>
      <w:pPr>
        <w:pStyle w:val="ListBullet"/>
      </w:pPr>
      <w:r>
        <w:t>sleep_apnea</w:t>
      </w:r>
    </w:p>
    <w:p>
      <w:pPr>
        <w:pStyle w:val="ListBullet"/>
      </w:pPr>
      <w:r>
        <w:t>trigger_bone_marrow_transplant</w:t>
      </w:r>
    </w:p>
    <w:p>
      <w:pPr>
        <w:pStyle w:val="ListBullet"/>
      </w:pPr>
      <w:r>
        <w:t>vhd_pulmonic</w:t>
      </w:r>
    </w:p>
    <w:p>
      <w:pPr>
        <w:pStyle w:val="ListBullet"/>
      </w:pPr>
      <w:r>
        <w:t>vhd_tricuspid</w:t>
      </w:r>
    </w:p>
    <w:p>
      <w:pPr>
        <w:pStyle w:val="Heading2"/>
      </w:pPr>
      <w:r>
        <w:t>6.3. Módulos con reference_empty (35)</w:t>
      </w:r>
    </w:p>
    <w:p>
      <w:pPr>
        <w:pStyle w:val="ListBullet"/>
      </w:pPr>
      <w:r>
        <w:t>acute_myeloid_leukemia</w:t>
      </w:r>
    </w:p>
    <w:p>
      <w:pPr>
        <w:pStyle w:val="ListBullet"/>
      </w:pPr>
      <w:r>
        <w:t>allergies</w:t>
      </w:r>
    </w:p>
    <w:p>
      <w:pPr>
        <w:pStyle w:val="ListBullet"/>
      </w:pPr>
      <w:r>
        <w:t>atopy</w:t>
      </w:r>
    </w:p>
    <w:p>
      <w:pPr>
        <w:pStyle w:val="ListBullet"/>
      </w:pPr>
      <w:r>
        <w:t>bone_marrow_transplant</w:t>
      </w:r>
    </w:p>
    <w:p>
      <w:pPr>
        <w:pStyle w:val="ListBullet"/>
      </w:pPr>
      <w:r>
        <w:t>contraceptive_maintenance</w:t>
      </w:r>
    </w:p>
    <w:p>
      <w:pPr>
        <w:pStyle w:val="ListBullet"/>
      </w:pPr>
      <w:r>
        <w:t>cystic_fibrosis</w:t>
      </w:r>
    </w:p>
    <w:p>
      <w:pPr>
        <w:pStyle w:val="ListBullet"/>
      </w:pPr>
      <w:r>
        <w:t>dental_and_oral_examination</w:t>
      </w:r>
    </w:p>
    <w:p>
      <w:pPr>
        <w:pStyle w:val="ListBullet"/>
      </w:pPr>
      <w:r>
        <w:t>dentures</w:t>
      </w:r>
    </w:p>
    <w:p>
      <w:pPr>
        <w:pStyle w:val="ListBullet"/>
      </w:pPr>
      <w:r>
        <w:t>diabetic_retinopathy_treatment</w:t>
      </w:r>
    </w:p>
    <w:p>
      <w:pPr>
        <w:pStyle w:val="ListBullet"/>
      </w:pPr>
      <w:r>
        <w:t>dialysis</w:t>
      </w:r>
    </w:p>
    <w:p>
      <w:pPr>
        <w:pStyle w:val="ListBullet"/>
      </w:pPr>
      <w:r>
        <w:t>female_reproduction</w:t>
      </w:r>
    </w:p>
    <w:p>
      <w:pPr>
        <w:pStyle w:val="ListBullet"/>
      </w:pPr>
      <w:r>
        <w:t>food_allergies</w:t>
      </w:r>
    </w:p>
    <w:p>
      <w:pPr>
        <w:pStyle w:val="ListBullet"/>
      </w:pPr>
      <w:r>
        <w:t>hiv_care</w:t>
      </w:r>
    </w:p>
    <w:p>
      <w:pPr>
        <w:pStyle w:val="ListBullet"/>
      </w:pPr>
      <w:r>
        <w:t>home_health_treatment</w:t>
      </w:r>
    </w:p>
    <w:p>
      <w:pPr>
        <w:pStyle w:val="ListBullet"/>
      </w:pPr>
      <w:r>
        <w:t>home_hospice_snf</w:t>
      </w:r>
    </w:p>
    <w:p>
      <w:pPr>
        <w:pStyle w:val="ListBullet"/>
      </w:pPr>
      <w:r>
        <w:t>hospice_treatment</w:t>
      </w:r>
    </w:p>
    <w:p>
      <w:pPr>
        <w:pStyle w:val="ListBullet"/>
      </w:pPr>
      <w:r>
        <w:t>kidney_transplant</w:t>
      </w:r>
    </w:p>
    <w:p>
      <w:pPr>
        <w:pStyle w:val="ListBullet"/>
      </w:pPr>
      <w:r>
        <w:t>lupus</w:t>
      </w:r>
    </w:p>
    <w:p>
      <w:pPr>
        <w:pStyle w:val="ListBullet"/>
      </w:pPr>
      <w:r>
        <w:t>mend_program</w:t>
      </w:r>
    </w:p>
    <w:p>
      <w:pPr>
        <w:pStyle w:val="ListBullet"/>
      </w:pPr>
      <w:r>
        <w:t>metabolic_syndrome_care</w:t>
      </w:r>
    </w:p>
    <w:p>
      <w:pPr>
        <w:pStyle w:val="ListBullet"/>
      </w:pPr>
      <w:r>
        <w:t>metabolic_syndrome_disease</w:t>
      </w:r>
    </w:p>
    <w:p>
      <w:pPr>
        <w:pStyle w:val="ListBullet"/>
      </w:pPr>
      <w:r>
        <w:t>mTBI</w:t>
      </w:r>
    </w:p>
    <w:p>
      <w:pPr>
        <w:pStyle w:val="ListBullet"/>
      </w:pPr>
      <w:r>
        <w:t>pregnancy</w:t>
      </w:r>
    </w:p>
    <w:p>
      <w:pPr>
        <w:pStyle w:val="ListBullet"/>
      </w:pPr>
      <w:r>
        <w:t>self_harm</w:t>
      </w:r>
    </w:p>
    <w:p>
      <w:pPr>
        <w:pStyle w:val="ListBullet"/>
      </w:pPr>
      <w:r>
        <w:t>sexual_activity</w:t>
      </w:r>
    </w:p>
    <w:p>
      <w:pPr>
        <w:pStyle w:val="ListBullet"/>
      </w:pPr>
      <w:r>
        <w:t>spina_bifida</w:t>
      </w:r>
    </w:p>
    <w:p>
      <w:pPr>
        <w:pStyle w:val="ListBullet"/>
      </w:pPr>
      <w:r>
        <w:t>total_joint_replacement</w:t>
      </w:r>
    </w:p>
    <w:p>
      <w:pPr>
        <w:pStyle w:val="ListBullet"/>
      </w:pPr>
      <w:r>
        <w:t>veteran</w:t>
      </w:r>
    </w:p>
    <w:p>
      <w:pPr>
        <w:pStyle w:val="ListBullet"/>
      </w:pPr>
      <w:r>
        <w:t>veteran_lung_cancer</w:t>
      </w:r>
    </w:p>
    <w:p>
      <w:pPr>
        <w:pStyle w:val="ListBullet"/>
      </w:pPr>
      <w:r>
        <w:t>veteran_mdd</w:t>
      </w:r>
    </w:p>
    <w:p>
      <w:pPr>
        <w:pStyle w:val="ListBullet"/>
      </w:pPr>
      <w:r>
        <w:t>veteran_prostate_cancer</w:t>
      </w:r>
    </w:p>
    <w:p>
      <w:pPr>
        <w:pStyle w:val="ListBullet"/>
      </w:pPr>
      <w:r>
        <w:t>veteran_ptsd</w:t>
      </w:r>
    </w:p>
    <w:p>
      <w:pPr>
        <w:pStyle w:val="ListBullet"/>
      </w:pPr>
      <w:r>
        <w:t>veteran_self_harm</w:t>
      </w:r>
    </w:p>
    <w:p>
      <w:pPr>
        <w:pStyle w:val="ListBullet"/>
      </w:pPr>
      <w:r>
        <w:t>veteran_substance_abuse_conditions</w:t>
      </w:r>
    </w:p>
    <w:p>
      <w:pPr>
        <w:pStyle w:val="ListBullet"/>
      </w:pPr>
      <w:r>
        <w:t>veteran_substance_abuse_treatment</w:t>
      </w:r>
    </w:p>
    <w:p>
      <w:pPr>
        <w:pStyle w:val="Heading2"/>
      </w:pPr>
      <w:r>
        <w:t>6.4. Módulos con psynthea_functional_failure (12)</w:t>
      </w:r>
    </w:p>
    <w:p>
      <w:pPr>
        <w:pStyle w:val="ListBullet"/>
      </w:pPr>
      <w:r>
        <w:t>allergic_rhinitis</w:t>
      </w:r>
    </w:p>
    <w:p>
      <w:pPr>
        <w:pStyle w:val="ListBullet"/>
      </w:pPr>
      <w:r>
        <w:t>anemia___unknown_etiology</w:t>
      </w:r>
    </w:p>
    <w:p>
      <w:pPr>
        <w:pStyle w:val="ListBullet"/>
      </w:pPr>
      <w:r>
        <w:t>atrial_fibrillation</w:t>
      </w:r>
    </w:p>
    <w:p>
      <w:pPr>
        <w:pStyle w:val="ListBullet"/>
      </w:pPr>
      <w:r>
        <w:t>covid19</w:t>
      </w:r>
    </w:p>
    <w:p>
      <w:pPr>
        <w:pStyle w:val="ListBullet"/>
      </w:pPr>
      <w:r>
        <w:t>gallstones</w:t>
      </w:r>
    </w:p>
    <w:p>
      <w:pPr>
        <w:pStyle w:val="ListBullet"/>
      </w:pPr>
      <w:r>
        <w:t>myocardial_infarction</w:t>
      </w:r>
    </w:p>
    <w:p>
      <w:pPr>
        <w:pStyle w:val="ListBullet"/>
      </w:pPr>
      <w:r>
        <w:t>stable_ischemic_heart_disease</w:t>
      </w:r>
    </w:p>
    <w:p>
      <w:pPr>
        <w:pStyle w:val="ListBullet"/>
      </w:pPr>
      <w:r>
        <w:t>stroke</w:t>
      </w:r>
    </w:p>
    <w:p>
      <w:pPr>
        <w:pStyle w:val="ListBullet"/>
      </w:pPr>
      <w:r>
        <w:t>veteran_hyperlipidemia</w:t>
      </w:r>
    </w:p>
    <w:p>
      <w:pPr>
        <w:pStyle w:val="ListBullet"/>
      </w:pPr>
      <w:r>
        <w:t>vhd_aortic</w:t>
      </w:r>
    </w:p>
    <w:p>
      <w:pPr>
        <w:pStyle w:val="ListBullet"/>
      </w:pPr>
      <w:r>
        <w:t>vhd_mitral</w:t>
      </w:r>
    </w:p>
    <w:p>
      <w:pPr>
        <w:pStyle w:val="ListBullet"/>
      </w:pPr>
      <w:r>
        <w:t>wellness_encounters</w:t>
      </w:r>
    </w:p>
    <w:p>
      <w:pPr>
        <w:pStyle w:val="Heading1"/>
      </w:pPr>
      <w:r>
        <w:t>7. Interpretación científica correcta</w:t>
      </w:r>
    </w:p>
    <w:p>
      <w:pPr>
        <w:pStyle w:val="Heading2"/>
      </w:pPr>
      <w:r>
        <w:t>7.1. Qué sí puede afirmarse</w:t>
      </w:r>
    </w:p>
    <w:p>
      <w:pPr>
        <w:pStyle w:val="ListBullet"/>
      </w:pPr>
      <w:r>
        <w:t>El pipeline completo funciona de extremo a extremo para los 85 módulos seleccionados con población 1000.</w:t>
      </w:r>
    </w:p>
    <w:p>
      <w:pPr>
        <w:pStyle w:val="ListBullet"/>
      </w:pPr>
      <w:r>
        <w:t>La subida p100 → p1000 aumentó los módulos clasificados como comparable de 9 a 18 y redujo reference_empty de 42 a 35.</w:t>
      </w:r>
    </w:p>
    <w:p>
      <w:pPr>
        <w:pStyle w:val="ListBullet"/>
      </w:pPr>
      <w:r>
        <w:t>Existe un subconjunto de 38 módulos con evidencia funcional comparable o parcialmente comparable.</w:t>
      </w:r>
    </w:p>
    <w:p>
      <w:pPr>
        <w:pStyle w:val="ListBullet"/>
      </w:pPr>
      <w:r>
        <w:t>Hay 12 módulos que requieren análisis de causa raíz porque Psynthea no reproduce algún dominio clínico presente en Synthea.</w:t>
      </w:r>
    </w:p>
    <w:p>
      <w:pPr>
        <w:pStyle w:val="ListBullet"/>
      </w:pPr>
      <w:r>
        <w:t>Los resultados son trazables a run_id, experiment_id, seed, población y scientific_report.json.</w:t>
      </w:r>
    </w:p>
    <w:p>
      <w:pPr>
        <w:pStyle w:val="Heading2"/>
      </w:pPr>
      <w:r>
        <w:t>7.2. Qué no debe afirmarse</w:t>
      </w:r>
    </w:p>
    <w:p>
      <w:pPr>
        <w:pStyle w:val="ListBullet"/>
      </w:pPr>
      <w:r>
        <w:t>No puede afirmarse que Psynthea sea sustituto general de Synthea para cualquier investigación.</w:t>
      </w:r>
    </w:p>
    <w:p>
      <w:pPr>
        <w:pStyle w:val="ListBullet"/>
      </w:pPr>
      <w:r>
        <w:t>No puede confundirse éxito de ejecución con equivalencia científica.</w:t>
      </w:r>
    </w:p>
    <w:p>
      <w:pPr>
        <w:pStyle w:val="ListBullet"/>
      </w:pPr>
      <w:r>
        <w:t>No puede interpretar reference_empty como fallo de Psynthea sin estudiar la ausencia de eventos en la referencia.</w:t>
      </w:r>
    </w:p>
    <w:p>
      <w:pPr>
        <w:pStyle w:val="ListBullet"/>
      </w:pPr>
      <w:r>
        <w:t>No puede presentar 18/85 como una probabilidad de validez o reemplazo.</w:t>
      </w:r>
    </w:p>
    <w:p>
      <w:pPr>
        <w:pStyle w:val="ListBullet"/>
      </w:pPr>
      <w:r>
        <w:t>No debe ocultarse que 0/85 módulos alcanzan research_use_ready con el criterio global actual y una sola semilla p1000.</w:t>
      </w:r>
    </w:p>
    <w:p>
      <w:pPr>
        <w:pStyle w:val="Heading1"/>
      </w:pPr>
      <w:r>
        <w:t>8. Decisión de cierre: por qué no lanzar otra campaña global</w:t>
      </w:r>
    </w:p>
    <w:p>
      <w:r>
        <w:t>Con diez horas disponibles, una campaña p5000/p10000 o una nueva p1000 con múltiples semillas consumiría la ventana de cierre y produciría más datos de los que se podrían analizar y documentar. La máxima calidad no procede ahora de incrementar volumen, sino de cerrar la cadena de evidencia: resultados → clasificación → causa → limitación → conclusión.</w:t>
      </w:r>
    </w:p>
    <w:p>
      <w:pPr>
        <w:pStyle w:val="ListBullet"/>
      </w:pPr>
      <w:r>
        <w:t>No lanzar otra campaña de 85 módulos.</w:t>
      </w:r>
    </w:p>
    <w:p>
      <w:pPr>
        <w:pStyle w:val="ListBullet"/>
      </w:pPr>
      <w:r>
        <w:t>No refactorizar componentes que ya funcionan.</w:t>
      </w:r>
    </w:p>
    <w:p>
      <w:pPr>
        <w:pStyle w:val="ListBullet"/>
      </w:pPr>
      <w:r>
        <w:t>No intentar convertir todos los REVIEW en aprobaciones.</w:t>
      </w:r>
    </w:p>
    <w:p>
      <w:pPr>
        <w:pStyle w:val="ListBullet"/>
      </w:pPr>
      <w:r>
        <w:t>No corregir módulos reference_empty salvo que exista evidencia clara de error de selección o configuración.</w:t>
      </w:r>
    </w:p>
    <w:p>
      <w:pPr>
        <w:pStyle w:val="ListBullet"/>
      </w:pPr>
      <w:r>
        <w:t>Reejecutar únicamente módulos modificados y solo cuando el diagnóstico identifique un defecto de alto impacto y corrección segura.</w:t>
      </w:r>
    </w:p>
    <w:p>
      <w:pPr>
        <w:pStyle w:val="Heading1"/>
      </w:pPr>
      <w:r>
        <w:t>9. Plan final de 10 horas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1F4E78"/>
          </w:tcPr>
          <w:p>
            <w:r/>
            <w:r>
              <w:rPr>
                <w:b/>
                <w:color w:val="FFFFFF"/>
                <w:sz w:val="18"/>
              </w:rPr>
              <w:t>Bloque</w:t>
            </w:r>
          </w:p>
        </w:tc>
        <w:tc>
          <w:tcPr>
            <w:tcW w:type="dxa" w:w="1440"/>
            <w:vAlign w:val="center"/>
            <w:shd w:fill="1F4E78"/>
          </w:tcPr>
          <w:p>
            <w:r/>
            <w:r>
              <w:rPr>
                <w:b/>
                <w:color w:val="FFFFFF"/>
                <w:sz w:val="18"/>
              </w:rPr>
              <w:t>Tiempo</w:t>
            </w:r>
          </w:p>
        </w:tc>
        <w:tc>
          <w:tcPr>
            <w:tcW w:type="dxa" w:w="4320"/>
            <w:vAlign w:val="center"/>
            <w:shd w:fill="1F4E78"/>
          </w:tcPr>
          <w:p>
            <w:r/>
            <w:r>
              <w:rPr>
                <w:b/>
                <w:color w:val="FFFFFF"/>
                <w:sz w:val="18"/>
              </w:rPr>
              <w:t>Objetivo</w:t>
            </w:r>
          </w:p>
        </w:tc>
        <w:tc>
          <w:tcPr>
            <w:tcW w:type="dxa" w:w="3168"/>
            <w:vAlign w:val="center"/>
            <w:shd w:fill="1F4E78"/>
          </w:tcPr>
          <w:p>
            <w:r/>
            <w:r>
              <w:rPr>
                <w:b/>
                <w:color w:val="FFFFFF"/>
                <w:sz w:val="18"/>
              </w:rPr>
              <w:t>Entregable mínimo</w:t>
            </w:r>
          </w:p>
        </w:tc>
      </w:tr>
      <w:tr>
        <w:tc>
          <w:tcPr>
            <w:tcW w:type="dxa" w:w="1872"/>
            <w:vAlign w:val="center"/>
          </w:tcPr>
          <w:p>
            <w:r/>
            <w:r>
              <w:rPr>
                <w:b w:val="0"/>
                <w:sz w:val="15"/>
              </w:rPr>
              <w:t>A. Congelación y evidencia</w:t>
            </w:r>
          </w:p>
        </w:tc>
        <w:tc>
          <w:tcPr>
            <w:tcW w:type="dxa" w:w="1440"/>
            <w:vAlign w:val="center"/>
          </w:tcPr>
          <w:p>
            <w:r/>
            <w:r>
              <w:rPr>
                <w:b w:val="0"/>
                <w:sz w:val="15"/>
              </w:rPr>
              <w:t>0:00–0:30</w:t>
            </w:r>
          </w:p>
        </w:tc>
        <w:tc>
          <w:tcPr>
            <w:tcW w:type="dxa" w:w="4320"/>
            <w:vAlign w:val="center"/>
          </w:tcPr>
          <w:p>
            <w:r/>
            <w:r>
              <w:rPr>
                <w:b w:val="0"/>
                <w:sz w:val="15"/>
              </w:rPr>
              <w:t>Congelar commit, configuración y artefactos p100/p1000.</w:t>
            </w:r>
          </w:p>
        </w:tc>
        <w:tc>
          <w:tcPr>
            <w:tcW w:type="dxa" w:w="3168"/>
            <w:vAlign w:val="center"/>
          </w:tcPr>
          <w:p>
            <w:r/>
            <w:r>
              <w:rPr>
                <w:b w:val="0"/>
                <w:sz w:val="15"/>
              </w:rPr>
              <w:t>Manifiesto de evidencia y hashes/rutas.</w:t>
            </w:r>
          </w:p>
        </w:tc>
      </w:tr>
      <w:tr>
        <w:tc>
          <w:tcPr>
            <w:tcW w:type="dxa" w:w="1872"/>
            <w:vAlign w:val="center"/>
            <w:shd w:fill="EAF2F8"/>
          </w:tcPr>
          <w:p>
            <w:r/>
            <w:r>
              <w:rPr>
                <w:b w:val="0"/>
                <w:sz w:val="15"/>
              </w:rPr>
              <w:t>B. Matriz maestra</w:t>
            </w:r>
          </w:p>
        </w:tc>
        <w:tc>
          <w:tcPr>
            <w:tcW w:type="dxa" w:w="1440"/>
            <w:vAlign w:val="center"/>
            <w:shd w:fill="EAF2F8"/>
          </w:tcPr>
          <w:p>
            <w:r/>
            <w:r>
              <w:rPr>
                <w:b w:val="0"/>
                <w:sz w:val="15"/>
              </w:rPr>
              <w:t>0:30–1:30</w:t>
            </w:r>
          </w:p>
        </w:tc>
        <w:tc>
          <w:tcPr>
            <w:tcW w:type="dxa" w:w="4320"/>
            <w:vAlign w:val="center"/>
            <w:shd w:fill="EAF2F8"/>
          </w:tcPr>
          <w:p>
            <w:r/>
            <w:r>
              <w:rPr>
                <w:b w:val="0"/>
                <w:sz w:val="15"/>
              </w:rPr>
              <w:t>Clasificar los 85 módulos y ordenar los 12 fallos funcionales.</w:t>
            </w:r>
          </w:p>
        </w:tc>
        <w:tc>
          <w:tcPr>
            <w:tcW w:type="dxa" w:w="3168"/>
            <w:vAlign w:val="center"/>
            <w:shd w:fill="EAF2F8"/>
          </w:tcPr>
          <w:p>
            <w:r/>
            <w:r>
              <w:rPr>
                <w:b w:val="0"/>
                <w:sz w:val="15"/>
              </w:rPr>
              <w:t>module_validation_matrix.csv + resumen.</w:t>
            </w:r>
          </w:p>
        </w:tc>
      </w:tr>
      <w:tr>
        <w:tc>
          <w:tcPr>
            <w:tcW w:type="dxa" w:w="1872"/>
            <w:vAlign w:val="center"/>
          </w:tcPr>
          <w:p>
            <w:r/>
            <w:r>
              <w:rPr>
                <w:b w:val="0"/>
                <w:sz w:val="15"/>
              </w:rPr>
              <w:t>C. RCA dirigida</w:t>
            </w:r>
          </w:p>
        </w:tc>
        <w:tc>
          <w:tcPr>
            <w:tcW w:type="dxa" w:w="1440"/>
            <w:vAlign w:val="center"/>
          </w:tcPr>
          <w:p>
            <w:r/>
            <w:r>
              <w:rPr>
                <w:b w:val="0"/>
                <w:sz w:val="15"/>
              </w:rPr>
              <w:t>1:30–4:00</w:t>
            </w:r>
          </w:p>
        </w:tc>
        <w:tc>
          <w:tcPr>
            <w:tcW w:type="dxa" w:w="4320"/>
            <w:vAlign w:val="center"/>
          </w:tcPr>
          <w:p>
            <w:r/>
            <w:r>
              <w:rPr>
                <w:b w:val="0"/>
                <w:sz w:val="15"/>
              </w:rPr>
              <w:t>Analizar los 12 fallos; distinguir bug, limitación del motor, configuración o baja incidencia.</w:t>
            </w:r>
          </w:p>
        </w:tc>
        <w:tc>
          <w:tcPr>
            <w:tcW w:type="dxa" w:w="3168"/>
            <w:vAlign w:val="center"/>
          </w:tcPr>
          <w:p>
            <w:r/>
            <w:r>
              <w:rPr>
                <w:b w:val="0"/>
                <w:sz w:val="15"/>
              </w:rPr>
              <w:t>Tabla RCA con causa, confianza, severidad y acción.</w:t>
            </w:r>
          </w:p>
        </w:tc>
      </w:tr>
      <w:tr>
        <w:tc>
          <w:tcPr>
            <w:tcW w:type="dxa" w:w="1872"/>
            <w:vAlign w:val="center"/>
            <w:shd w:fill="EAF2F8"/>
          </w:tcPr>
          <w:p>
            <w:r/>
            <w:r>
              <w:rPr>
                <w:b w:val="0"/>
                <w:sz w:val="15"/>
              </w:rPr>
              <w:t>D. Corrección selectiva</w:t>
            </w:r>
          </w:p>
        </w:tc>
        <w:tc>
          <w:tcPr>
            <w:tcW w:type="dxa" w:w="1440"/>
            <w:vAlign w:val="center"/>
            <w:shd w:fill="EAF2F8"/>
          </w:tcPr>
          <w:p>
            <w:r/>
            <w:r>
              <w:rPr>
                <w:b w:val="0"/>
                <w:sz w:val="15"/>
              </w:rPr>
              <w:t>4:00–6:00</w:t>
            </w:r>
          </w:p>
        </w:tc>
        <w:tc>
          <w:tcPr>
            <w:tcW w:type="dxa" w:w="4320"/>
            <w:vAlign w:val="center"/>
            <w:shd w:fill="EAF2F8"/>
          </w:tcPr>
          <w:p>
            <w:r/>
            <w:r>
              <w:rPr>
                <w:b w:val="0"/>
                <w:sz w:val="15"/>
              </w:rPr>
              <w:t>Corregir como máximo 1–3 defectos claros, seguros y de alto impacto.</w:t>
            </w:r>
          </w:p>
        </w:tc>
        <w:tc>
          <w:tcPr>
            <w:tcW w:type="dxa" w:w="3168"/>
            <w:vAlign w:val="center"/>
            <w:shd w:fill="EAF2F8"/>
          </w:tcPr>
          <w:p>
            <w:r/>
            <w:r>
              <w:rPr>
                <w:b w:val="0"/>
                <w:sz w:val="15"/>
              </w:rPr>
              <w:t>Parche pequeño + pruebas focalizadas.</w:t>
            </w:r>
          </w:p>
        </w:tc>
      </w:tr>
      <w:tr>
        <w:tc>
          <w:tcPr>
            <w:tcW w:type="dxa" w:w="1872"/>
            <w:vAlign w:val="center"/>
          </w:tcPr>
          <w:p>
            <w:r/>
            <w:r>
              <w:rPr>
                <w:b w:val="0"/>
                <w:sz w:val="15"/>
              </w:rPr>
              <w:t>E. Reejecución focalizada</w:t>
            </w:r>
          </w:p>
        </w:tc>
        <w:tc>
          <w:tcPr>
            <w:tcW w:type="dxa" w:w="1440"/>
            <w:vAlign w:val="center"/>
          </w:tcPr>
          <w:p>
            <w:r/>
            <w:r>
              <w:rPr>
                <w:b w:val="0"/>
                <w:sz w:val="15"/>
              </w:rPr>
              <w:t>6:00–7:00</w:t>
            </w:r>
          </w:p>
        </w:tc>
        <w:tc>
          <w:tcPr>
            <w:tcW w:type="dxa" w:w="4320"/>
            <w:vAlign w:val="center"/>
          </w:tcPr>
          <w:p>
            <w:r/>
            <w:r>
              <w:rPr>
                <w:b w:val="0"/>
                <w:sz w:val="15"/>
              </w:rPr>
              <w:t>Reejecutar solo módulos tocados y actualizar evidencia.</w:t>
            </w:r>
          </w:p>
        </w:tc>
        <w:tc>
          <w:tcPr>
            <w:tcW w:type="dxa" w:w="3168"/>
            <w:vAlign w:val="center"/>
          </w:tcPr>
          <w:p>
            <w:r/>
            <w:r>
              <w:rPr>
                <w:b w:val="0"/>
                <w:sz w:val="15"/>
              </w:rPr>
              <w:t>Resultados before/after.</w:t>
            </w:r>
          </w:p>
        </w:tc>
      </w:tr>
      <w:tr>
        <w:tc>
          <w:tcPr>
            <w:tcW w:type="dxa" w:w="1872"/>
            <w:vAlign w:val="center"/>
            <w:shd w:fill="EAF2F8"/>
          </w:tcPr>
          <w:p>
            <w:r/>
            <w:r>
              <w:rPr>
                <w:b w:val="0"/>
                <w:sz w:val="15"/>
              </w:rPr>
              <w:t>F. Informe científico</w:t>
            </w:r>
          </w:p>
        </w:tc>
        <w:tc>
          <w:tcPr>
            <w:tcW w:type="dxa" w:w="1440"/>
            <w:vAlign w:val="center"/>
            <w:shd w:fill="EAF2F8"/>
          </w:tcPr>
          <w:p>
            <w:r/>
            <w:r>
              <w:rPr>
                <w:b w:val="0"/>
                <w:sz w:val="15"/>
              </w:rPr>
              <w:t>7:00–9:30</w:t>
            </w:r>
          </w:p>
        </w:tc>
        <w:tc>
          <w:tcPr>
            <w:tcW w:type="dxa" w:w="4320"/>
            <w:vAlign w:val="center"/>
            <w:shd w:fill="EAF2F8"/>
          </w:tcPr>
          <w:p>
            <w:r/>
            <w:r>
              <w:rPr>
                <w:b w:val="0"/>
                <w:sz w:val="15"/>
              </w:rPr>
              <w:t>Redactar metodología, resultados, discusión, limitaciones y conclusión.</w:t>
            </w:r>
          </w:p>
        </w:tc>
        <w:tc>
          <w:tcPr>
            <w:tcW w:type="dxa" w:w="3168"/>
            <w:vAlign w:val="center"/>
            <w:shd w:fill="EAF2F8"/>
          </w:tcPr>
          <w:p>
            <w:r/>
            <w:r>
              <w:rPr>
                <w:b w:val="0"/>
                <w:sz w:val="15"/>
              </w:rPr>
              <w:t>Informe final reproducible.</w:t>
            </w:r>
          </w:p>
        </w:tc>
      </w:tr>
      <w:tr>
        <w:tc>
          <w:tcPr>
            <w:tcW w:type="dxa" w:w="1872"/>
            <w:vAlign w:val="center"/>
          </w:tcPr>
          <w:p>
            <w:r/>
            <w:r>
              <w:rPr>
                <w:b w:val="0"/>
                <w:sz w:val="15"/>
              </w:rPr>
              <w:t>G. QA y empaquetado</w:t>
            </w:r>
          </w:p>
        </w:tc>
        <w:tc>
          <w:tcPr>
            <w:tcW w:type="dxa" w:w="1440"/>
            <w:vAlign w:val="center"/>
          </w:tcPr>
          <w:p>
            <w:r/>
            <w:r>
              <w:rPr>
                <w:b w:val="0"/>
                <w:sz w:val="15"/>
              </w:rPr>
              <w:t>9:30–10:00</w:t>
            </w:r>
          </w:p>
        </w:tc>
        <w:tc>
          <w:tcPr>
            <w:tcW w:type="dxa" w:w="4320"/>
            <w:vAlign w:val="center"/>
          </w:tcPr>
          <w:p>
            <w:r/>
            <w:r>
              <w:rPr>
                <w:b w:val="0"/>
                <w:sz w:val="15"/>
              </w:rPr>
              <w:t>Comprobar consistencia, rutas, comandos, tablas y anexos.</w:t>
            </w:r>
          </w:p>
        </w:tc>
        <w:tc>
          <w:tcPr>
            <w:tcW w:type="dxa" w:w="3168"/>
            <w:vAlign w:val="center"/>
          </w:tcPr>
          <w:p>
            <w:r/>
            <w:r>
              <w:rPr>
                <w:b w:val="0"/>
                <w:sz w:val="15"/>
              </w:rPr>
              <w:t>Paquete final listo para entrega.</w:t>
            </w:r>
          </w:p>
        </w:tc>
      </w:tr>
    </w:tbl>
    <w:p/>
    <w:p>
      <w:pPr>
        <w:pStyle w:val="Heading1"/>
      </w:pPr>
      <w:r>
        <w:t>10. Protocolo de análisis de los 12 fallos funcionales</w:t>
      </w:r>
    </w:p>
    <w:p>
      <w:r>
        <w:t>Cada módulo debe evaluarse con el mismo esquema para evitar decisiones ad hoc:</w:t>
      </w:r>
    </w:p>
    <w:p>
      <w:pPr>
        <w:pStyle w:val="ListNumber"/>
      </w:pPr>
      <w:r>
        <w:t>Confirmar que Synthea genera al menos un evento en el dominio marcado y que Psynthea genera cero o una estructura incompatible.</w:t>
      </w:r>
    </w:p>
    <w:p>
      <w:pPr>
        <w:pStyle w:val="ListNumber"/>
      </w:pPr>
      <w:r>
        <w:t>Identificar el dominio principal: conditions, medications, procedures, observations o encounters.</w:t>
      </w:r>
    </w:p>
    <w:p>
      <w:pPr>
        <w:pStyle w:val="ListNumber"/>
      </w:pPr>
      <w:r>
        <w:t>Comparar códigos, descripciones, fechas, patient IDs y encounter IDs; descartar diferencias puramente de exporter.</w:t>
      </w:r>
    </w:p>
    <w:p>
      <w:pPr>
        <w:pStyle w:val="ListNumber"/>
      </w:pPr>
      <w:r>
        <w:t>Revisar el flujo del módulo JSON y los tipos de estado usados. Buscar estados compatibles no implementados, atributos ignorados, guardas, distribuciones o referencias.</w:t>
      </w:r>
    </w:p>
    <w:p>
      <w:pPr>
        <w:pStyle w:val="ListNumber"/>
      </w:pPr>
      <w:r>
        <w:t>Revisar logs y trazas de un paciente elegible para determinar si el estado no se alcanza o si se alcanza pero no se exporta.</w:t>
      </w:r>
    </w:p>
    <w:p>
      <w:pPr>
        <w:pStyle w:val="ListNumber"/>
      </w:pPr>
      <w:r>
        <w:t>Asignar causa: bug de Psynthea, limitación conocida, diferencia de configuración, evento raro, problema de exportación o inconcluso.</w:t>
      </w:r>
    </w:p>
    <w:p>
      <w:pPr>
        <w:pStyle w:val="ListNumber"/>
      </w:pPr>
      <w:r>
        <w:t>Asignar severidad y confianza. Solo corregir cuando la causa sea alta confianza y el parche no arriesgue otros módulos.</w:t>
      </w:r>
    </w:p>
    <w:p>
      <w:pPr>
        <w:pStyle w:val="ListNumber"/>
      </w:pPr>
      <w:r>
        <w:t>Documentar el resultado aunque no se corrija; una limitación bien justificada es científicamente válida.</w:t>
      </w:r>
    </w:p>
    <w:tbl>
      <w:tblPr>
        <w:tblStyle w:val="TableGrid"/>
        <w:tblW w:type="auto" w:w="0"/>
        <w:jc w:val="center"/>
        <w:tblLook w:firstColumn="1" w:firstRow="1" w:lastColumn="0" w:lastRow="0" w:noHBand="0" w:noVBand="1" w:val="04A0"/>
      </w:tblPr>
      <w:tblGrid>
        <w:gridCol w:w="4968"/>
        <w:gridCol w:w="4968"/>
      </w:tblGrid>
      <w:tr>
        <w:tc>
          <w:tcPr>
            <w:tcW w:type="dxa" w:w="5472"/>
            <w:vAlign w:val="center"/>
            <w:shd w:fill="1F4E78"/>
          </w:tcPr>
          <w:p>
            <w:r/>
            <w:r>
              <w:rPr>
                <w:b/>
                <w:color w:val="FFFFFF"/>
                <w:sz w:val="18"/>
              </w:rPr>
              <w:t>Módulo funcionalmente fallido</w:t>
            </w:r>
          </w:p>
        </w:tc>
        <w:tc>
          <w:tcPr>
            <w:tcW w:type="dxa" w:w="4320"/>
            <w:vAlign w:val="center"/>
            <w:shd w:fill="1F4E78"/>
          </w:tcPr>
          <w:p>
            <w:r/>
            <w:r>
              <w:rPr>
                <w:b/>
                <w:color w:val="FFFFFF"/>
                <w:sz w:val="18"/>
              </w:rPr>
              <w:t>Prioridad inicial sugerida</w:t>
            </w:r>
          </w:p>
        </w:tc>
      </w:tr>
      <w:tr>
        <w:tc>
          <w:tcPr>
            <w:tcW w:type="dxa" w:w="5472"/>
            <w:vAlign w:val="center"/>
          </w:tcPr>
          <w:p>
            <w:r/>
            <w:r>
              <w:rPr>
                <w:b w:val="0"/>
                <w:sz w:val="16"/>
              </w:rPr>
              <w:t>allergic_rhinitis</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anemia___unknown_etiology</w:t>
            </w:r>
          </w:p>
        </w:tc>
        <w:tc>
          <w:tcPr>
            <w:tcW w:type="dxa" w:w="4320"/>
            <w:vAlign w:val="center"/>
            <w:shd w:fill="EAF2F8"/>
          </w:tcPr>
          <w:p>
            <w:r/>
            <w:r>
              <w:rPr>
                <w:b w:val="0"/>
                <w:sz w:val="16"/>
              </w:rPr>
              <w:t>Alta: revisar durante RCA; corregir solo con causa clara</w:t>
            </w:r>
          </w:p>
        </w:tc>
      </w:tr>
      <w:tr>
        <w:tc>
          <w:tcPr>
            <w:tcW w:type="dxa" w:w="5472"/>
            <w:vAlign w:val="center"/>
          </w:tcPr>
          <w:p>
            <w:r/>
            <w:r>
              <w:rPr>
                <w:b w:val="0"/>
                <w:sz w:val="16"/>
              </w:rPr>
              <w:t>atrial_fibrillation</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covid19</w:t>
            </w:r>
          </w:p>
        </w:tc>
        <w:tc>
          <w:tcPr>
            <w:tcW w:type="dxa" w:w="4320"/>
            <w:vAlign w:val="center"/>
            <w:shd w:fill="EAF2F8"/>
          </w:tcPr>
          <w:p>
            <w:r/>
            <w:r>
              <w:rPr>
                <w:b w:val="0"/>
                <w:sz w:val="16"/>
              </w:rPr>
              <w:t>Alta: revisar durante RCA; corregir solo con causa clara</w:t>
            </w:r>
          </w:p>
        </w:tc>
      </w:tr>
      <w:tr>
        <w:tc>
          <w:tcPr>
            <w:tcW w:type="dxa" w:w="5472"/>
            <w:vAlign w:val="center"/>
          </w:tcPr>
          <w:p>
            <w:r/>
            <w:r>
              <w:rPr>
                <w:b w:val="0"/>
                <w:sz w:val="16"/>
              </w:rPr>
              <w:t>gallstones</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myocardial_infarction</w:t>
            </w:r>
          </w:p>
        </w:tc>
        <w:tc>
          <w:tcPr>
            <w:tcW w:type="dxa" w:w="4320"/>
            <w:vAlign w:val="center"/>
            <w:shd w:fill="EAF2F8"/>
          </w:tcPr>
          <w:p>
            <w:r/>
            <w:r>
              <w:rPr>
                <w:b w:val="0"/>
                <w:sz w:val="16"/>
              </w:rPr>
              <w:t>Alta: revisar durante RCA; corregir solo con causa clara</w:t>
            </w:r>
          </w:p>
        </w:tc>
      </w:tr>
      <w:tr>
        <w:tc>
          <w:tcPr>
            <w:tcW w:type="dxa" w:w="5472"/>
            <w:vAlign w:val="center"/>
          </w:tcPr>
          <w:p>
            <w:r/>
            <w:r>
              <w:rPr>
                <w:b w:val="0"/>
                <w:sz w:val="16"/>
              </w:rPr>
              <w:t>stable_ischemic_heart_disease</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stroke</w:t>
            </w:r>
          </w:p>
        </w:tc>
        <w:tc>
          <w:tcPr>
            <w:tcW w:type="dxa" w:w="4320"/>
            <w:vAlign w:val="center"/>
            <w:shd w:fill="EAF2F8"/>
          </w:tcPr>
          <w:p>
            <w:r/>
            <w:r>
              <w:rPr>
                <w:b w:val="0"/>
                <w:sz w:val="16"/>
              </w:rPr>
              <w:t>Alta: revisar durante RCA; corregir solo con causa clara</w:t>
            </w:r>
          </w:p>
        </w:tc>
      </w:tr>
      <w:tr>
        <w:tc>
          <w:tcPr>
            <w:tcW w:type="dxa" w:w="5472"/>
            <w:vAlign w:val="center"/>
          </w:tcPr>
          <w:p>
            <w:r/>
            <w:r>
              <w:rPr>
                <w:b w:val="0"/>
                <w:sz w:val="16"/>
              </w:rPr>
              <w:t>veteran_hyperlipidemia</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vhd_aortic</w:t>
            </w:r>
          </w:p>
        </w:tc>
        <w:tc>
          <w:tcPr>
            <w:tcW w:type="dxa" w:w="4320"/>
            <w:vAlign w:val="center"/>
            <w:shd w:fill="EAF2F8"/>
          </w:tcPr>
          <w:p>
            <w:r/>
            <w:r>
              <w:rPr>
                <w:b w:val="0"/>
                <w:sz w:val="16"/>
              </w:rPr>
              <w:t>Alta: revisar durante RCA; corregir solo con causa clara</w:t>
            </w:r>
          </w:p>
        </w:tc>
      </w:tr>
      <w:tr>
        <w:tc>
          <w:tcPr>
            <w:tcW w:type="dxa" w:w="5472"/>
            <w:vAlign w:val="center"/>
          </w:tcPr>
          <w:p>
            <w:r/>
            <w:r>
              <w:rPr>
                <w:b w:val="0"/>
                <w:sz w:val="16"/>
              </w:rPr>
              <w:t>vhd_mitral</w:t>
            </w:r>
          </w:p>
        </w:tc>
        <w:tc>
          <w:tcPr>
            <w:tcW w:type="dxa" w:w="4320"/>
            <w:vAlign w:val="center"/>
          </w:tcPr>
          <w:p>
            <w:r/>
            <w:r>
              <w:rPr>
                <w:b w:val="0"/>
                <w:sz w:val="16"/>
              </w:rPr>
              <w:t>Alta: revisar durante RCA; corregir solo con causa clara</w:t>
            </w:r>
          </w:p>
        </w:tc>
      </w:tr>
      <w:tr>
        <w:tc>
          <w:tcPr>
            <w:tcW w:type="dxa" w:w="5472"/>
            <w:vAlign w:val="center"/>
            <w:shd w:fill="EAF2F8"/>
          </w:tcPr>
          <w:p>
            <w:r/>
            <w:r>
              <w:rPr>
                <w:b w:val="0"/>
                <w:sz w:val="16"/>
              </w:rPr>
              <w:t>wellness_encounters</w:t>
            </w:r>
          </w:p>
        </w:tc>
        <w:tc>
          <w:tcPr>
            <w:tcW w:type="dxa" w:w="4320"/>
            <w:vAlign w:val="center"/>
            <w:shd w:fill="EAF2F8"/>
          </w:tcPr>
          <w:p>
            <w:r/>
            <w:r>
              <w:rPr>
                <w:b w:val="0"/>
                <w:sz w:val="16"/>
              </w:rPr>
              <w:t>Alta: revisar durante RCA; corregir solo con causa clara</w:t>
            </w:r>
          </w:p>
        </w:tc>
      </w:tr>
    </w:tbl>
    <w:p/>
    <w:p>
      <w:pPr>
        <w:pStyle w:val="Heading1"/>
      </w:pPr>
      <w:r>
        <w:t>11. Entregables finales recomendados</w:t>
      </w:r>
    </w:p>
    <w:p>
      <w:pPr>
        <w:pStyle w:val="ListBullet"/>
      </w:pPr>
      <w:r>
        <w:t>Informe final científico en DOCX/PDF con resumen ejecutivo, metodología, resultados, discusión, limitaciones y conclusión.</w:t>
      </w:r>
    </w:p>
    <w:p>
      <w:pPr>
        <w:pStyle w:val="ListBullet"/>
      </w:pPr>
      <w:r>
        <w:t>Matriz maestra de 85 módulos en CSV, con estado, decisión, dominios, recuentos, causa y acción.</w:t>
      </w:r>
    </w:p>
    <w:p>
      <w:pPr>
        <w:pStyle w:val="ListBullet"/>
      </w:pPr>
      <w:r>
        <w:t>Anexo de reproducibilidad: comandos, configuración, seed, población, fechas, versiones/commit y rutas de artefactos.</w:t>
      </w:r>
    </w:p>
    <w:p>
      <w:pPr>
        <w:pStyle w:val="ListBullet"/>
      </w:pPr>
      <w:r>
        <w:t>Paquete de evidencia p1000: campaign_state.json, module_campaign_summary.json, module_campaign_modules.csv y module_campaign_report.md.</w:t>
      </w:r>
    </w:p>
    <w:p>
      <w:pPr>
        <w:pStyle w:val="ListBullet"/>
      </w:pPr>
      <w:r>
        <w:t>Parche(s) final(es) con pruebas y resultados antes/después, únicamente si se realizan correcciones.</w:t>
      </w:r>
    </w:p>
    <w:p>
      <w:pPr>
        <w:pStyle w:val="ListBullet"/>
      </w:pPr>
      <w:r>
        <w:t>Resumen de limitaciones y trabajo futuro para evitar sobregeneralizar los resultados.</w:t>
      </w:r>
    </w:p>
    <w:p>
      <w:pPr>
        <w:pStyle w:val="Heading1"/>
      </w:pPr>
      <w:r>
        <w:t>12. Redacción recomendada de la conclusión final</w:t>
      </w:r>
    </w:p>
    <w:tbl>
      <w:tblPr>
        <w:tblStyle w:val="TableGrid"/>
        <w:tblW w:type="auto" w:w="0"/>
        <w:jc w:val="center"/>
        <w:tblLook w:firstColumn="1" w:firstRow="1" w:lastColumn="0" w:lastRow="0" w:noHBand="0" w:noVBand="1" w:val="04A0"/>
      </w:tblPr>
      <w:tblGrid>
        <w:gridCol w:w="9936"/>
      </w:tblGrid>
      <w:tr>
        <w:tc>
          <w:tcPr>
            <w:tcW w:type="dxa" w:w="9936"/>
            <w:shd w:fill="E2F0D9"/>
          </w:tcPr>
          <w:p>
            <w:r/>
            <w:r>
              <w:rPr>
                <w:b/>
                <w:color w:val="1F4E78"/>
                <w:sz w:val="20"/>
              </w:rPr>
              <w:t>Conclusión defendible</w:t>
            </w:r>
          </w:p>
          <w:p>
            <w:pPr>
              <w:spacing w:after="0"/>
            </w:pPr>
            <w:r>
              <w:t>Psynthea ha demostrado capacidad para ejecutar de forma estable los 85 módulos evaluados bajo la campaña p1000. La evidencia funcional muestra comparabilidad total o parcial en 38 módulos, mientras que 35 no pudieron compararse por ausencia de eventos de referencia y 12 presentan discrepancias funcionales que requieren investigación específica. Por tanto, los resultados apoyan el uso de Psynthea en escenarios seleccionados y validados por módulo, pero no justifican todavía su consideración como reemplazo general de Synthea para investigación clínica sin validación adicional, múltiples semillas y resolución de los fallos funcionales identificados.</w:t>
            </w:r>
          </w:p>
        </w:tc>
      </w:tr>
    </w:tbl>
    <w:p/>
    <w:p>
      <w:pPr>
        <w:pStyle w:val="Heading1"/>
      </w:pPr>
      <w:r>
        <w:t>13. Punto exacto de continuación en el siguiente chat</w:t>
      </w:r>
    </w:p>
    <w:p>
      <w:r>
        <w:t>El siguiente chat debe comenzar directamente en la fase de cierre, sin repetir campañas ni volver a diagnosticar el forest_plot. El orden operativo es:</w:t>
      </w:r>
    </w:p>
    <w:p>
      <w:pPr>
        <w:pStyle w:val="ListNumber"/>
      </w:pPr>
      <w:r>
        <w:t>Abrir aggregate(1).zip y campaign_state(1).json como evidencia oficial p1000.</w:t>
      </w:r>
    </w:p>
    <w:p>
      <w:pPr>
        <w:pStyle w:val="ListNumber"/>
      </w:pPr>
      <w:r>
        <w:t>Crear la matriz maestra de 85 módulos a partir de module_campaign_modules.csv.</w:t>
      </w:r>
    </w:p>
    <w:p>
      <w:pPr>
        <w:pStyle w:val="ListNumber"/>
      </w:pPr>
      <w:r>
        <w:t>Ordenar los 12 psynthea_functional_failure por impacto y revisar sus scientific_report.json.</w:t>
      </w:r>
    </w:p>
    <w:p>
      <w:pPr>
        <w:pStyle w:val="ListNumber"/>
      </w:pPr>
      <w:r>
        <w:t>Seleccionar como máximo 1–3 correcciones de alta confianza; omitir el resto con justificación.</w:t>
      </w:r>
    </w:p>
    <w:p>
      <w:pPr>
        <w:pStyle w:val="ListNumber"/>
      </w:pPr>
      <w:r>
        <w:t>Reejecutar únicamente los módulos modificados.</w:t>
      </w:r>
    </w:p>
    <w:p>
      <w:pPr>
        <w:pStyle w:val="ListNumber"/>
      </w:pPr>
      <w:r>
        <w:t>Actualizar tablas y redactar el informe final con lenguaje conservador.</w:t>
      </w:r>
    </w:p>
    <w:p>
      <w:pPr>
        <w:pStyle w:val="ListNumber"/>
      </w:pPr>
      <w:r>
        <w:t>Realizar control de calidad final y empaquetar los artefactos.</w:t>
      </w:r>
    </w:p>
    <w:p>
      <w:pPr>
        <w:pStyle w:val="Heading1"/>
      </w:pPr>
      <w:r>
        <w:t>14. Notas técnicas que no deben olvidarse</w:t>
      </w:r>
    </w:p>
    <w:p>
      <w:pPr>
        <w:pStyle w:val="ListBullet"/>
      </w:pPr>
      <w:r>
        <w:t>Para ejecutar Psynthea, usar siempre python -m psynthea.cli generate ...; no usar python -m psynthea ni python -m psynthea.cli sin el subcomando generate.</w:t>
      </w:r>
    </w:p>
    <w:p>
      <w:pPr>
        <w:pStyle w:val="ListBullet"/>
      </w:pPr>
      <w:r>
        <w:t>El parche de forest_plot debe conservar las validaciones de RR y límites de CI antes de aplicar logaritmos.</w:t>
      </w:r>
    </w:p>
    <w:p>
      <w:pPr>
        <w:pStyle w:val="ListBullet"/>
      </w:pPr>
      <w:r>
        <w:t>El logger de orquestación debe permanecer local mediante logging.getLogger(__name__) para evitar imports circulares.</w:t>
      </w:r>
    </w:p>
    <w:p>
      <w:pPr>
        <w:pStyle w:val="ListBullet"/>
      </w:pPr>
      <w:r>
        <w:t>El agregador no recalcula pruebas estadísticas; resume evidencia persistida.</w:t>
      </w:r>
    </w:p>
    <w:p>
      <w:pPr>
        <w:pStyle w:val="ListBullet"/>
      </w:pPr>
      <w:r>
        <w:t>La decisión global REVIEW es deliberadamente conservadora y no equivale a fallo.</w:t>
      </w:r>
    </w:p>
    <w:p>
      <w:pPr>
        <w:pStyle w:val="ListBullet"/>
      </w:pPr>
      <w:r>
        <w:t>La ausencia research_use_ready en los 85 módulos debe reportarse, no ocultarse.</w:t>
      </w:r>
    </w:p>
    <w:p>
      <w:pPr>
        <w:pStyle w:val="ListBullet"/>
      </w:pPr>
      <w:r>
        <w:t>covid19 tarda ~50 minutos en p1000; no interrumpir mientras CPU/TIME sigan avanzando.</w:t>
      </w:r>
    </w:p>
    <w:p>
      <w:pPr>
        <w:pStyle w:val="ListBullet"/>
      </w:pPr>
      <w:r>
        <w:t>No tocar Synthea; cualquier cambio funcional debe estar aislado en Psynthea o en la validación.</w:t>
      </w:r>
    </w:p>
    <w:p>
      <w:pPr>
        <w:pStyle w:val="Heading1"/>
      </w:pPr>
      <w:r>
        <w:t>15. Artefactos fuente utilizados para esta actualización</w:t>
      </w:r>
    </w:p>
    <w:p>
      <w:pPr>
        <w:pStyle w:val="ListBullet"/>
      </w:pPr>
      <w:r>
        <w:t>campaign_state(1).json — registro de 85 intentos p1000, todos correctos en attempt 1.</w:t>
      </w:r>
    </w:p>
    <w:p>
      <w:pPr>
        <w:pStyle w:val="ListBullet"/>
      </w:pPr>
      <w:r>
        <w:t>aggregate(1).zip / aggregate/module_campaign_summary.json — resumen agregado de 85 módulos.</w:t>
      </w:r>
    </w:p>
    <w:p>
      <w:pPr>
        <w:pStyle w:val="ListBullet"/>
      </w:pPr>
      <w:r>
        <w:t>aggregate(1).zip / aggregate/module_campaign_modules.csv — matriz base de estados y recuentos.</w:t>
      </w:r>
    </w:p>
    <w:p>
      <w:pPr>
        <w:pStyle w:val="ListBullet"/>
      </w:pPr>
      <w:r>
        <w:t>aggregate(1).zip / aggregate/module_campaign_report.md — informe legible de campaña.</w:t>
      </w:r>
    </w:p>
    <w:p>
      <w:pPr>
        <w:pStyle w:val="ListBullet"/>
      </w:pPr>
      <w:r>
        <w:t>Documentación y actualizaciones previas del proyecto disponibles en las Fuentes.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IRYCIS · 30/07/2026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VALIDACIÓN CIENTÍFICA PSYNTHEA vs SYNTHEA — ACTUALIZACIÓN DE CIERRE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