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t>Guía de estudio — BES Designer</w:t>
      </w:r>
    </w:p>
    <w:p>
      <w:r>
        <w:rPr>
          <w:b/>
        </w:rPr>
        <w:t>Autor:</w:t>
      </w:r>
      <w:r>
        <w:t xml:space="preserve"> Pablo Agustín Tejerina (ING-9659) · Proyecto Integrador Profesional, Ingeniería en Petróleo, UNCo </w:t>
      </w:r>
      <w:r>
        <w:rPr>
          <w:b/>
        </w:rPr>
        <w:t>Propósito:</w:t>
      </w:r>
      <w:r>
        <w:t xml:space="preserve"> material de estudio para la defensa. Dividido en dos partes:</w:t>
      </w:r>
    </w:p>
    <w:p>
      <w:pPr>
        <w:pStyle w:val="ListBullet"/>
      </w:pPr>
      <w:r>
        <w:rPr>
          <w:b/>
        </w:rPr>
        <w:t>Parte 1 — La ingeniería:</w:t>
      </w:r>
      <w:r>
        <w:t xml:space="preserve"> las fórmulas de ingeniería de petróleo usadas y el paso a paso</w:t>
      </w:r>
    </w:p>
    <w:p>
      <w:r>
        <w:t>del diseño de un bombeo electrosumergible (BES/ESP).</w:t>
      </w:r>
    </w:p>
    <w:p>
      <w:pPr>
        <w:pStyle w:val="ListBullet"/>
      </w:pPr>
      <w:r>
        <w:rPr>
          <w:b/>
        </w:rPr>
        <w:t>Parte 2 — La aplicación:</w:t>
      </w:r>
      <w:r>
        <w:t xml:space="preserve"> cómo se construyó el software, etapa por etapa, y por qué</w:t>
      </w:r>
    </w:p>
    <w:p>
      <w:r>
        <w:t>se tomó cada decisión.</w:t>
      </w:r>
    </w:p>
    <w:p>
      <w:r>
        <w:t xml:space="preserve">Referencia principal: Kermit Brown, *The Technology of Artificial Lift Methods*, Vol. 2b, Cap. 4.5 (PennWell). Documentos hermanos: </w:t>
      </w:r>
      <w:r>
        <w:rPr>
          <w:rFonts w:ascii="Consolas" w:hAnsi="Consolas"/>
          <w:color w:val="B03060"/>
          <w:sz w:val="20"/>
        </w:rPr>
        <w:t>FORMULAS.md</w:t>
      </w:r>
      <w:r>
        <w:t xml:space="preserve"> (todas las fórmulas con archivo:línea), </w:t>
      </w:r>
      <w:r>
        <w:rPr>
          <w:rFonts w:ascii="Consolas" w:hAnsi="Consolas"/>
          <w:color w:val="B03060"/>
          <w:sz w:val="20"/>
        </w:rPr>
        <w:t>METHODOLOGY.md</w:t>
      </w:r>
      <w:r>
        <w:t xml:space="preserve"> (correlaciones y rangos de validez), </w:t>
      </w:r>
      <w:r>
        <w:rPr>
          <w:rFonts w:ascii="Consolas" w:hAnsi="Consolas"/>
          <w:color w:val="B03060"/>
          <w:sz w:val="20"/>
        </w:rPr>
        <w:t>MEMORIA_TECNICA_APP.md</w:t>
      </w:r>
      <w:r>
        <w:t xml:space="preserve"> (memoria para el tribunal).</w:t>
      </w:r>
    </w:p>
    <w:p>
      <w:pPr>
        <w:pBdr>
          <w:bottom w:val="single" w:sz="6" w:space="1" w:color="AAAAAA"/>
        </w:pBdr>
      </w:pPr>
    </w:p>
    <w:p>
      <w:pPr>
        <w:pStyle w:val="Heading1"/>
      </w:pPr>
      <w:r/>
      <w:r>
        <w:t>PARTE 1 — INGENIERÍA: EL DISEÑO DE UN BES PASO A PASO</w:t>
      </w:r>
    </w:p>
    <w:p>
      <w:pPr>
        <w:pStyle w:val="Heading2"/>
      </w:pPr>
      <w:r/>
      <w:r>
        <w:t>1.0 El problema que se resuelve</w:t>
      </w:r>
    </w:p>
    <w:p>
      <w:r>
        <w:t xml:space="preserve">Un pozo que no fluye solo (o no al caudal deseado) necesita levantamiento artificial. En BES se baja al pozo una </w:t>
      </w:r>
      <w:r>
        <w:rPr>
          <w:b/>
        </w:rPr>
        <w:t>bomba centrífuga multietapa</w:t>
      </w:r>
      <w:r>
        <w:t xml:space="preserve"> acoplada a un </w:t>
      </w:r>
      <w:r>
        <w:rPr>
          <w:b/>
        </w:rPr>
        <w:t>motor eléctrico</w:t>
      </w:r>
      <w:r>
        <w:t xml:space="preserve"> de fondo, alimentado por un </w:t>
      </w:r>
      <w:r>
        <w:rPr>
          <w:b/>
        </w:rPr>
        <w:t>cable de potencia</w:t>
      </w:r>
      <w:r>
        <w:t xml:space="preserve"> desde superficie a través de un </w:t>
      </w:r>
      <w:r>
        <w:rPr>
          <w:b/>
        </w:rPr>
        <w:t>transformador</w:t>
      </w:r>
      <w:r>
        <w:t xml:space="preserve">. Entre motor y bomba va un </w:t>
      </w:r>
      <w:r>
        <w:rPr>
          <w:b/>
        </w:rPr>
        <w:t>sello/protector</w:t>
      </w:r>
      <w:r>
        <w:t xml:space="preserve"> que absorbe el empuje axial y aísla el motor del fluido.</w:t>
      </w:r>
    </w:p>
    <w:p>
      <w:r>
        <w:t>Diseñar el sistema significa responder, en orden:</w:t>
      </w:r>
    </w:p>
    <w:p>
      <w:pPr>
        <w:pStyle w:val="ListNumber"/>
      </w:pPr>
      <w:r>
        <w:t xml:space="preserve">¿Qué presión de fondo (Pwf) exige el caudal objetivo? → </w:t>
      </w:r>
      <w:r>
        <w:rPr>
          <w:b/>
        </w:rPr>
        <w:t>IPR</w:t>
      </w:r>
    </w:p>
    <w:p>
      <w:pPr>
        <w:pStyle w:val="ListNumber"/>
      </w:pPr>
      <w:r>
        <w:t xml:space="preserve">¿Cómo se comportan los fluidos a cada presión y temperatura? → </w:t>
      </w:r>
      <w:r>
        <w:rPr>
          <w:b/>
        </w:rPr>
        <w:t>PVT</w:t>
      </w:r>
    </w:p>
    <w:p>
      <w:pPr>
        <w:pStyle w:val="ListNumber"/>
      </w:pPr>
      <w:r>
        <w:t xml:space="preserve">¿Qué presión llega a la admisión de la bomba? → </w:t>
      </w:r>
      <w:r>
        <w:rPr>
          <w:b/>
        </w:rPr>
        <w:t>PIP</w:t>
      </w:r>
      <w:r>
        <w:t xml:space="preserve"> (flujo multifásico)</w:t>
      </w:r>
    </w:p>
    <w:p>
      <w:pPr>
        <w:pStyle w:val="ListNumber"/>
      </w:pPr>
      <w:r>
        <w:t xml:space="preserve">¿Cuánta altura debe desarrollar la bomba? → </w:t>
      </w:r>
      <w:r>
        <w:rPr>
          <w:b/>
        </w:rPr>
        <w:t>TDH</w:t>
      </w:r>
    </w:p>
    <w:p>
      <w:pPr>
        <w:pStyle w:val="ListNumber"/>
      </w:pPr>
      <w:r>
        <w:t xml:space="preserve">¿Qué bomba, con cuántas etapas y cuánta potencia? → </w:t>
      </w:r>
      <w:r>
        <w:rPr>
          <w:b/>
        </w:rPr>
        <w:t>selección hidráulica</w:t>
      </w:r>
    </w:p>
    <w:p>
      <w:pPr>
        <w:pStyle w:val="ListNumber"/>
      </w:pPr>
      <w:r>
        <w:t xml:space="preserve">¿Qué motor, cable y transformador la alimentan? → </w:t>
      </w:r>
      <w:r>
        <w:rPr>
          <w:b/>
        </w:rPr>
        <w:t>diseño eléctrico</w:t>
      </w:r>
    </w:p>
    <w:p>
      <w:pPr>
        <w:pStyle w:val="ListNumber"/>
      </w:pPr>
      <w:r>
        <w:t xml:space="preserve">¿Cuánto gas libre traga la bomba y qué hago con él? → </w:t>
      </w:r>
      <w:r>
        <w:rPr>
          <w:b/>
        </w:rPr>
        <w:t>manejo de gas</w:t>
      </w:r>
    </w:p>
    <w:p>
      <w:pPr>
        <w:pStyle w:val="ListNumber"/>
      </w:pPr>
      <w:r>
        <w:t xml:space="preserve">De todas las alternativas viables, ¿cuál conviene? → </w:t>
      </w:r>
      <w:r>
        <w:rPr>
          <w:b/>
        </w:rPr>
        <w:t>ordenamiento por criterios</w:t>
      </w:r>
    </w:p>
    <w:p>
      <w:r>
        <w:t>Cada paso de abajo alimenta al de arriba: es una cadena, y así está implementada en la app.</w:t>
      </w:r>
    </w:p>
    <w:p>
      <w:pPr>
        <w:pStyle w:val="Heading3"/>
      </w:pPr>
      <w:r/>
      <w:r>
        <w:t>Convención de unidades (memorizarla: todo el sistema la respeta)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CE6F1"/>
          </w:tcPr>
          <w:p>
            <w:r>
              <w:rPr>
                <w:b/>
              </w:rPr>
            </w:r>
            <w:r>
              <w:rPr>
                <w:b/>
              </w:rPr>
              <w:t>Magnitud</w:t>
            </w:r>
          </w:p>
        </w:tc>
        <w:tc>
          <w:tcPr>
            <w:tcW w:type="dxa" w:w="4320"/>
            <w:shd w:val="clear" w:fill="DCE6F1"/>
          </w:tcPr>
          <w:p>
            <w:r>
              <w:rPr>
                <w:b/>
              </w:rPr>
            </w:r>
            <w:r>
              <w:rPr>
                <w:b/>
              </w:rPr>
              <w:t>Unidad</w:t>
            </w:r>
          </w:p>
        </w:tc>
      </w:tr>
      <w:tr>
        <w:tc>
          <w:tcPr>
            <w:tcW w:type="dxa" w:w="4320"/>
          </w:tcPr>
          <w:p>
            <w:r/>
            <w:r>
              <w:t>Presión</w:t>
            </w:r>
          </w:p>
        </w:tc>
        <w:tc>
          <w:tcPr>
            <w:tcW w:type="dxa" w:w="4320"/>
          </w:tcPr>
          <w:p>
            <w:r/>
            <w:r>
              <w:t>psia (diferenciales en psi)</w:t>
            </w:r>
          </w:p>
        </w:tc>
      </w:tr>
      <w:tr>
        <w:tc>
          <w:tcPr>
            <w:tcW w:type="dxa" w:w="4320"/>
          </w:tcPr>
          <w:p>
            <w:r/>
            <w:r>
              <w:t>Temperatura</w:t>
            </w:r>
          </w:p>
        </w:tc>
        <w:tc>
          <w:tcPr>
            <w:tcW w:type="dxa" w:w="4320"/>
          </w:tcPr>
          <w:p>
            <w:r/>
            <w:r>
              <w:t>°F</w:t>
            </w:r>
          </w:p>
        </w:tc>
      </w:tr>
      <w:tr>
        <w:tc>
          <w:tcPr>
            <w:tcW w:type="dxa" w:w="4320"/>
          </w:tcPr>
          <w:p>
            <w:r/>
            <w:r>
              <w:t>Caudal</w:t>
            </w:r>
          </w:p>
        </w:tc>
        <w:tc>
          <w:tcPr>
            <w:tcW w:type="dxa" w:w="4320"/>
          </w:tcPr>
          <w:p>
            <w:r/>
            <w:r>
              <w:t>STB/d (superficie) o bpd</w:t>
            </w:r>
          </w:p>
        </w:tc>
      </w:tr>
      <w:tr>
        <w:tc>
          <w:tcPr>
            <w:tcW w:type="dxa" w:w="4320"/>
          </w:tcPr>
          <w:p>
            <w:r/>
            <w:r>
              <w:t>Profundidad / longitud</w:t>
            </w:r>
          </w:p>
        </w:tc>
        <w:tc>
          <w:tcPr>
            <w:tcW w:type="dxa" w:w="4320"/>
          </w:tcPr>
          <w:p>
            <w:r/>
            <w:r>
              <w:t>ft</w:t>
            </w:r>
          </w:p>
        </w:tc>
      </w:tr>
      <w:tr>
        <w:tc>
          <w:tcPr>
            <w:tcW w:type="dxa" w:w="4320"/>
          </w:tcPr>
          <w:p>
            <w:r/>
            <w:r>
              <w:t>Diámetros</w:t>
            </w:r>
          </w:p>
        </w:tc>
        <w:tc>
          <w:tcPr>
            <w:tcW w:type="dxa" w:w="4320"/>
          </w:tcPr>
          <w:p>
            <w:r/>
            <w:r>
              <w:t>pulgadas</w:t>
            </w:r>
          </w:p>
        </w:tc>
      </w:tr>
      <w:tr>
        <w:tc>
          <w:tcPr>
            <w:tcW w:type="dxa" w:w="4320"/>
          </w:tcPr>
          <w:p>
            <w:r/>
            <w:r>
              <w:t>Potencia</w:t>
            </w:r>
          </w:p>
        </w:tc>
        <w:tc>
          <w:tcPr>
            <w:tcW w:type="dxa" w:w="4320"/>
          </w:tcPr>
          <w:p>
            <w:r/>
            <w:r>
              <w:t>hp</w:t>
            </w:r>
          </w:p>
        </w:tc>
      </w:tr>
      <w:tr>
        <w:tc>
          <w:tcPr>
            <w:tcW w:type="dxa" w:w="4320"/>
          </w:tcPr>
          <w:p>
            <w:r/>
            <w:r>
              <w:t>Tensión / corriente</w:t>
            </w:r>
          </w:p>
        </w:tc>
        <w:tc>
          <w:tcPr>
            <w:tcW w:type="dxa" w:w="4320"/>
          </w:tcPr>
          <w:p>
            <w:r/>
            <w:r>
              <w:t>V / A</w:t>
            </w:r>
          </w:p>
        </w:tc>
      </w:tr>
    </w:tbl>
    <w:p/>
    <w:p>
      <w:pPr>
        <w:pStyle w:val="Heading3"/>
      </w:pPr>
      <w:r/>
      <w:r>
        <w:t>Constantes que conviene saber de memoria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CE6F1"/>
          </w:tcPr>
          <w:p>
            <w:r>
              <w:rPr>
                <w:b/>
              </w:rPr>
            </w:r>
            <w:r>
              <w:rPr>
                <w:b/>
              </w:rPr>
              <w:t>Constante</w:t>
            </w:r>
          </w:p>
        </w:tc>
        <w:tc>
          <w:tcPr>
            <w:tcW w:type="dxa" w:w="2880"/>
            <w:shd w:val="clear" w:fill="DCE6F1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  <w:tc>
          <w:tcPr>
            <w:tcW w:type="dxa" w:w="2880"/>
            <w:shd w:val="clear" w:fill="DCE6F1"/>
          </w:tcPr>
          <w:p>
            <w:r>
              <w:rPr>
                <w:b/>
              </w:rPr>
            </w:r>
            <w:r>
              <w:rPr>
                <w:b/>
              </w:rPr>
              <w:t>Qué hace</w:t>
            </w:r>
          </w:p>
        </w:tc>
      </w:tr>
      <w:tr>
        <w:tc>
          <w:tcPr>
            <w:tcW w:type="dxa" w:w="2880"/>
          </w:tcPr>
          <w:p>
            <w:r/>
            <w:r>
              <w:t>2.31 ft/psi (÷ SG)</w:t>
            </w:r>
          </w:p>
        </w:tc>
        <w:tc>
          <w:tcPr>
            <w:tcW w:type="dxa" w:w="2880"/>
          </w:tcPr>
          <w:p>
            <w:r/>
            <w:r>
              <w:t>presión → altura de columna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  <w:sz w:val="20"/>
              </w:rPr>
              <w:t>h = P × 2.31 / SG</w:t>
            </w:r>
          </w:p>
        </w:tc>
      </w:tr>
      <w:tr>
        <w:tc>
          <w:tcPr>
            <w:tcW w:type="dxa" w:w="2880"/>
          </w:tcPr>
          <w:p>
            <w:r/>
            <w:r>
              <w:t>0.433 psi/ft (× SG)</w:t>
            </w:r>
          </w:p>
        </w:tc>
        <w:tc>
          <w:tcPr>
            <w:tcW w:type="dxa" w:w="2880"/>
          </w:tcPr>
          <w:p>
            <w:r/>
            <w:r>
              <w:t>altura → presión</w:t>
            </w:r>
          </w:p>
        </w:tc>
        <w:tc>
          <w:tcPr>
            <w:tcW w:type="dxa" w:w="2880"/>
          </w:tcPr>
          <w:p>
            <w:r/>
            <w:r>
              <w:t>inversa de la anterior</w:t>
            </w:r>
          </w:p>
        </w:tc>
      </w:tr>
      <w:tr>
        <w:tc>
          <w:tcPr>
            <w:tcW w:type="dxa" w:w="2880"/>
          </w:tcPr>
          <w:p>
            <w:r/>
            <w:r>
              <w:t>5.615 ft³/bbl</w:t>
            </w:r>
          </w:p>
        </w:tc>
        <w:tc>
          <w:tcPr>
            <w:tcW w:type="dxa" w:w="2880"/>
          </w:tcPr>
          <w:p>
            <w:r/>
            <w:r>
              <w:t>conversión de volumen</w:t>
            </w:r>
          </w:p>
        </w:tc>
        <w:tc>
          <w:tcPr>
            <w:tcW w:type="dxa" w:w="2880"/>
          </w:tcPr>
          <w:p>
            <w:r/>
            <w:r>
              <w:t>velocidades y volúmenes in situ</w:t>
            </w:r>
          </w:p>
        </w:tc>
      </w:tr>
      <w:tr>
        <w:tc>
          <w:tcPr>
            <w:tcW w:type="dxa" w:w="2880"/>
          </w:tcPr>
          <w:p>
            <w:r/>
            <w:r>
              <w:t>62.4 lb/ft³</w:t>
            </w:r>
          </w:p>
        </w:tc>
        <w:tc>
          <w:tcPr>
            <w:tcW w:type="dxa" w:w="2880"/>
          </w:tcPr>
          <w:p>
            <w:r/>
            <w:r>
              <w:t>densidad del agua a cond. estándar</w:t>
            </w:r>
          </w:p>
        </w:tc>
        <w:tc>
          <w:tcPr>
            <w:tcW w:type="dxa" w:w="2880"/>
          </w:tcPr>
          <w:p>
            <w:r/>
            <w:r>
              <w:t>densidades y SG de mezcla</w:t>
            </w:r>
          </w:p>
        </w:tc>
      </w:tr>
      <w:tr>
        <w:tc>
          <w:tcPr>
            <w:tcW w:type="dxa" w:w="2880"/>
          </w:tcPr>
          <w:p>
            <w:r/>
            <w:r>
              <w:t>141.5 / (131.5 + API)</w:t>
            </w:r>
          </w:p>
        </w:tc>
        <w:tc>
          <w:tcPr>
            <w:tcW w:type="dxa" w:w="2880"/>
          </w:tcPr>
          <w:p>
            <w:r/>
            <w:r>
              <w:t>°API → gravedad específica</w:t>
            </w:r>
          </w:p>
        </w:tc>
        <w:tc>
          <w:tcPr>
            <w:tcW w:type="dxa" w:w="2880"/>
          </w:tcPr>
          <w:p>
            <w:r/>
            <w:r>
              <w:t>γo del crudo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/>
      <w:r>
        <w:t>1.1 Paso 1 — IPR: la capacidad de aporte del reservorio</w:t>
      </w:r>
    </w:p>
    <w:p>
      <w:r>
        <w:rPr>
          <w:b/>
        </w:rPr>
        <w:t>Pregunta que responde:</w:t>
      </w:r>
      <w:r>
        <w:t xml:space="preserve"> para producir el caudal objetivo </w:t>
      </w:r>
      <w:r>
        <w:rPr>
          <w:rFonts w:ascii="Consolas" w:hAnsi="Consolas"/>
          <w:color w:val="B03060"/>
          <w:sz w:val="20"/>
        </w:rPr>
        <w:t>q</w:t>
      </w:r>
      <w:r>
        <w:t xml:space="preserve">, ¿a qué presión de fondo fluyente </w:t>
      </w:r>
      <w:r>
        <w:rPr>
          <w:rFonts w:ascii="Consolas" w:hAnsi="Consolas"/>
          <w:color w:val="B03060"/>
          <w:sz w:val="20"/>
        </w:rPr>
        <w:t>Pwf</w:t>
      </w:r>
      <w:r>
        <w:t xml:space="preserve"> hay que deprimir el pozo?</w:t>
      </w:r>
    </w:p>
    <w:p>
      <w:r>
        <w:t>La IPR (*Inflow Performance Relationship*) es la curva caudal vs. presión de fondo. La app implementa cuatro métodos; se elige según el mecanismo de empuje y los datos disponibles.</w:t>
      </w:r>
    </w:p>
    <w:p>
      <w:r>
        <w:rPr>
          <w:b/>
        </w:rPr>
        <w:t>a) Lineal (Darcy).</w:t>
      </w:r>
      <w:r>
        <w:t xml:space="preserve"> Válida con flujo monofásico en la formación (Pwf ≥ Pb, presión de burbuja). El índice de productividad </w:t>
      </w:r>
      <w:r>
        <w:rPr>
          <w:rFonts w:ascii="Consolas" w:hAnsi="Consolas"/>
          <w:color w:val="B03060"/>
          <w:sz w:val="20"/>
        </w:rPr>
        <w:t>J</w:t>
      </w:r>
      <w:r>
        <w:t xml:space="preserve"> [STB/d/psi] sale de un ensayo:</w:t>
      </w:r>
    </w:p>
    <w:p>
      <w:pPr>
        <w:spacing w:before="80" w:after="160"/>
        <w:ind w:left="216"/>
        <w:shd w:val="clear" w:fill="F2F3F5"/>
      </w:pPr>
      <w:r>
        <w:rPr>
          <w:rFonts w:ascii="Consolas" w:hAnsi="Consolas"/>
          <w:color w:val="24292E"/>
          <w:sz w:val="19"/>
        </w:rPr>
        <w:t>q = J · (Pr − Pwf)</w:t>
      </w:r>
    </w:p>
    <w:p>
      <w:r>
        <w:rPr>
          <w:b/>
        </w:rPr>
        <w:t>b) Vogel (1968).</w:t>
      </w:r>
      <w:r>
        <w:t xml:space="preserve"> Para empuje por gas en solución (Pwf &lt; Pb): al bajar la presión se libera gas en la formación, la permeabilidad relativa al petróleo cae y la curva se dobla:</w:t>
      </w:r>
    </w:p>
    <w:p>
      <w:pPr>
        <w:spacing w:before="80" w:after="160"/>
        <w:ind w:left="216"/>
        <w:shd w:val="clear" w:fill="F2F3F5"/>
      </w:pPr>
      <w:r>
        <w:rPr>
          <w:rFonts w:ascii="Consolas" w:hAnsi="Consolas"/>
          <w:color w:val="24292E"/>
          <w:sz w:val="19"/>
        </w:rPr>
        <w:t>q/q_max = 1 − 0.2·(Pwf/Pr) − 0.8·(Pwf/Pr)²</w:t>
      </w:r>
    </w:p>
    <w:p>
      <w:r>
        <w:rPr>
          <w:rFonts w:ascii="Consolas" w:hAnsi="Consolas"/>
          <w:color w:val="B03060"/>
          <w:sz w:val="20"/>
        </w:rPr>
        <w:t>q_max</w:t>
      </w:r>
      <w:r>
        <w:t xml:space="preserve"> (caudal a Pwf = 0, el AOF) se despeja de un punto de ensayo.</w:t>
      </w:r>
    </w:p>
    <w:p>
      <w:r>
        <w:rPr>
          <w:b/>
        </w:rPr>
        <w:t>c) Combinada (Standing 1970) — la recomendada.</w:t>
      </w:r>
      <w:r>
        <w:t xml:space="preserve"> Lineal por arriba de Pb, Vogel por debajo, con continuidad en Pb:</w:t>
      </w:r>
    </w:p>
    <w:p>
      <w:pPr>
        <w:spacing w:before="80" w:after="160"/>
        <w:ind w:left="216"/>
        <w:shd w:val="clear" w:fill="F2F3F5"/>
      </w:pPr>
      <w:r>
        <w:rPr>
          <w:rFonts w:ascii="Consolas" w:hAnsi="Consolas"/>
          <w:color w:val="24292E"/>
          <w:sz w:val="19"/>
        </w:rPr>
        <w:t>Pwf ≥ Pb:  q = J·(Pr − Pwf)</w:t>
        <w:br/>
        <w:t>Pwf &lt; Pb:  q = q_b + (J·Pb/1.8)·[1 − 0.2·(Pwf/Pb) − 0.8·(Pwf/Pb)²]</w:t>
        <w:br/>
        <w:t xml:space="preserve">           con q_b = J·(Pr − Pb)</w:t>
      </w:r>
    </w:p>
    <w:p>
      <w:r>
        <w:rPr>
          <w:b/>
        </w:rPr>
        <w:t>d) Fetkovich (1973).</w:t>
      </w:r>
      <w:r>
        <w:t xml:space="preserve"> Empírica, de ensayos isócronos; </w:t>
      </w:r>
      <w:r>
        <w:rPr>
          <w:rFonts w:ascii="Consolas" w:hAnsi="Consolas"/>
          <w:color w:val="B03060"/>
          <w:sz w:val="20"/>
        </w:rPr>
        <w:t>C</w:t>
      </w:r>
      <w:r>
        <w:t xml:space="preserve"> y </w:t>
      </w:r>
      <w:r>
        <w:rPr>
          <w:rFonts w:ascii="Consolas" w:hAnsi="Consolas"/>
          <w:color w:val="B03060"/>
          <w:sz w:val="20"/>
        </w:rPr>
        <w:t>n</w:t>
      </w:r>
      <w:r>
        <w:t xml:space="preserve"> (0.5 ≤ n ≤ 1) son los parámetros de deliverability:</w:t>
      </w:r>
    </w:p>
    <w:p>
      <w:pPr>
        <w:spacing w:before="80" w:after="160"/>
        <w:ind w:left="216"/>
        <w:shd w:val="clear" w:fill="F2F3F5"/>
      </w:pPr>
      <w:r>
        <w:rPr>
          <w:rFonts w:ascii="Consolas" w:hAnsi="Consolas"/>
          <w:color w:val="24292E"/>
          <w:sz w:val="19"/>
        </w:rPr>
        <w:t>q = C · (Pr² − Pwf²)ⁿ</w:t>
      </w:r>
    </w:p>
    <w:p>
      <w:r>
        <w:rPr>
          <w:b/>
        </w:rPr>
        <w:t>Cómo lo usa la app:</w:t>
      </w:r>
      <w:r>
        <w:t xml:space="preserve"> el diseño necesita la operación inversa — dado </w:t>
      </w:r>
      <w:r>
        <w:rPr>
          <w:rFonts w:ascii="Consolas" w:hAnsi="Consolas"/>
          <w:color w:val="B03060"/>
          <w:sz w:val="20"/>
        </w:rPr>
        <w:t>q_objetivo</w:t>
      </w:r>
      <w:r>
        <w:t xml:space="preserve">, encontrar </w:t>
      </w:r>
      <w:r>
        <w:rPr>
          <w:rFonts w:ascii="Consolas" w:hAnsi="Consolas"/>
          <w:color w:val="B03060"/>
          <w:sz w:val="20"/>
        </w:rPr>
        <w:t>Pwf</w:t>
      </w:r>
      <w:r>
        <w:t xml:space="preserve">. Para la lineal se despeja analíticamente; para las demás se resuelve numéricamente (método de Brent, </w:t>
      </w:r>
      <w:r>
        <w:rPr>
          <w:rFonts w:ascii="Consolas" w:hAnsi="Consolas"/>
          <w:color w:val="B03060"/>
          <w:sz w:val="20"/>
        </w:rPr>
        <w:t>scipy.optimize.brentq</w:t>
      </w:r>
      <w:r>
        <w:t>).</w:t>
      </w:r>
    </w:p>
    <w:p>
      <w:r>
        <w:rPr>
          <w:b/>
        </w:rPr>
        <w:t>Idea clave para la defensa:</w:t>
      </w:r>
      <w:r>
        <w:t xml:space="preserve"> la IPR es la *oferta* del reservorio. Todo el resto del diseño es construir la *demanda* del sistema para ese caudal. Si el caudal objetivo supera el AOF, no hay diseño posible y la app lo rechaza con un error de validación.</w:t>
      </w:r>
    </w:p>
    <w:p>
      <w:pPr>
        <w:pBdr>
          <w:bottom w:val="single" w:sz="6" w:space="1" w:color="AAAAAA"/>
        </w:pBdr>
      </w:pPr>
    </w:p>
    <w:p>
      <w:pPr>
        <w:pStyle w:val="Heading2"/>
      </w:pPr>
      <w:r/>
      <w:r>
        <w:t>1.2 Paso 2 — PVT: los fluidos cambian con presión y temperatura</w:t>
      </w:r>
    </w:p>
    <w:p>
      <w:r>
        <w:rPr>
          <w:b/>
        </w:rPr>
        <w:t>Pregunta que responde:</w:t>
      </w:r>
      <w:r>
        <w:t xml:space="preserve"> ¿cuánto gas está disuelto, cuánto se expande el crudo, qué densidad y viscosidad tiene cada fase a cada (P, T) del recorrido?</w:t>
      </w:r>
    </w:p>
    <w:p>
      <w:r>
        <w:t>El petróleo a condiciones de fondo no es el mismo que en el tanque: lleva gas disuelto (</w:t>
      </w:r>
      <w:r>
        <w:rPr>
          <w:rFonts w:ascii="Consolas" w:hAnsi="Consolas"/>
          <w:color w:val="B03060"/>
          <w:sz w:val="20"/>
        </w:rPr>
        <w:t>Rs</w:t>
      </w:r>
      <w:r>
        <w:t>), ocupa más volumen (</w:t>
      </w:r>
      <w:r>
        <w:rPr>
          <w:rFonts w:ascii="Consolas" w:hAnsi="Consolas"/>
          <w:color w:val="B03060"/>
          <w:sz w:val="20"/>
        </w:rPr>
        <w:t>Bo</w:t>
      </w:r>
      <w:r>
        <w:t>) y su densidad y viscosidad dependen de P y T. Las correlaciones usadas (todas empíricas, publicadas, con rango de validez conocido):</w:t>
      </w:r>
    </w:p>
    <w:p>
      <w:r>
        <w:rPr>
          <w:b/>
        </w:rPr>
        <w:t>Gravedad específica del crudo:</w:t>
      </w:r>
    </w:p>
    <w:p>
      <w:pPr>
        <w:spacing w:before="80" w:after="160"/>
        <w:ind w:left="216"/>
        <w:shd w:val="clear" w:fill="F2F3F5"/>
      </w:pPr>
      <w:r>
        <w:rPr>
          <w:rFonts w:ascii="Consolas" w:hAnsi="Consolas"/>
          <w:color w:val="24292E"/>
          <w:sz w:val="19"/>
        </w:rPr>
        <w:t>γo = 141.5 / (131.5 + API)</w:t>
      </w:r>
    </w:p>
    <w:p>
      <w:r>
        <w:rPr>
          <w:b/>
        </w:rPr>
        <w:t>Gas en solución — Standing (1947).</w:t>
      </w:r>
      <w:r>
        <w:t xml:space="preserve"> Con P_eff = min(P, Pb), porque por arriba de la presión de burbuja no se disuelve más gas:</w:t>
      </w:r>
    </w:p>
    <w:p>
      <w:pPr>
        <w:spacing w:before="80" w:after="160"/>
        <w:ind w:left="216"/>
        <w:shd w:val="clear" w:fill="F2F3F5"/>
      </w:pPr>
      <w:r>
        <w:rPr>
          <w:rFonts w:ascii="Consolas" w:hAnsi="Consolas"/>
          <w:color w:val="24292E"/>
          <w:sz w:val="19"/>
        </w:rPr>
        <w:t>Rs = γg · [(P_eff/18.2 + 1.4) · 10^(0.0125·API − 0.00091·T)]^1.2048   [scf/STB]</w:t>
      </w:r>
    </w:p>
    <w:p>
      <w:r>
        <w:rPr>
          <w:b/>
        </w:rPr>
        <w:t>Presión de burbuja:</w:t>
      </w:r>
      <w:r>
        <w:t xml:space="preserve"> es la inversa de la anterior — se despeja P para Rs = GOR total.</w:t>
      </w:r>
    </w:p>
    <w:p>
      <w:r>
        <w:rPr>
          <w:b/>
        </w:rPr>
        <w:t>Factor volumétrico del petróleo — Standing:</w:t>
      </w:r>
    </w:p>
    <w:p>
      <w:pPr>
        <w:spacing w:before="80" w:after="160"/>
        <w:ind w:left="216"/>
        <w:shd w:val="clear" w:fill="F2F3F5"/>
      </w:pPr>
      <w:r>
        <w:rPr>
          <w:rFonts w:ascii="Consolas" w:hAnsi="Consolas"/>
          <w:color w:val="24292E"/>
          <w:sz w:val="19"/>
        </w:rPr>
        <w:t>F  = Rs·(γg/γo)^0.5 + 1.25·T</w:t>
        <w:br/>
        <w:t>Bo = 0.9759 + 0.00012·F^1.2      [bbl reservorio / STB]</w:t>
      </w:r>
    </w:p>
    <w:p>
      <w:r>
        <w:rPr>
          <w:b/>
        </w:rPr>
        <w:t>Factor z del gas — Dranchuk &amp; Abou-Kassem (1975).</w:t>
      </w:r>
      <w:r>
        <w:t xml:space="preserve"> Ecuación de estado de 11 constantes resuelta por iteración sobre la densidad reducida, con pseudo-críticas de Standing:</w:t>
      </w:r>
    </w:p>
    <w:p>
      <w:pPr>
        <w:spacing w:before="80" w:after="160"/>
        <w:ind w:left="216"/>
        <w:shd w:val="clear" w:fill="F2F3F5"/>
      </w:pPr>
      <w:r>
        <w:rPr>
          <w:rFonts w:ascii="Consolas" w:hAnsi="Consolas"/>
          <w:color w:val="24292E"/>
          <w:sz w:val="19"/>
        </w:rPr>
        <w:t>Ppc = 677 + 15·γg − 37.5·γg²        Tpc = 168 + 325·γg − 12.5·γg²</w:t>
        <w:br/>
        <w:t>ρr  = 0.27·Ppr / (z·Tpr)            z = 1 + C1·ρr + C2·ρr² − C3·ρr⁵ + C4</w:t>
      </w:r>
    </w:p>
    <w:p>
      <w:r>
        <w:rPr>
          <w:b/>
        </w:rPr>
        <w:t>Factor volumétrico del gas:</w:t>
      </w:r>
    </w:p>
    <w:p>
      <w:pPr>
        <w:spacing w:before="80" w:after="160"/>
        <w:ind w:left="216"/>
        <w:shd w:val="clear" w:fill="F2F3F5"/>
      </w:pPr>
      <w:r>
        <w:rPr>
          <w:rFonts w:ascii="Consolas" w:hAnsi="Consolas"/>
          <w:color w:val="24292E"/>
          <w:sz w:val="19"/>
        </w:rPr>
        <w:t>Bg = 0.00504 · z·(T+460) / P        [bbl/scf]</w:t>
      </w:r>
    </w:p>
    <w:p>
      <w:r>
        <w:rPr>
          <w:b/>
        </w:rPr>
        <w:t>Viscosidad del crudo — Beggs &amp; Robinson (1975).</w:t>
      </w:r>
      <w:r>
        <w:t xml:space="preserve"> Primero la del crudo *muerto* (sin gas) en función de API y T; después se corrige por el gas disuelto:</w:t>
      </w:r>
    </w:p>
    <w:p>
      <w:pPr>
        <w:spacing w:before="80" w:after="160"/>
        <w:ind w:left="216"/>
        <w:shd w:val="clear" w:fill="F2F3F5"/>
      </w:pPr>
      <w:r>
        <w:rPr>
          <w:rFonts w:ascii="Consolas" w:hAnsi="Consolas"/>
          <w:color w:val="24292E"/>
          <w:sz w:val="19"/>
        </w:rPr>
        <w:t>μod = 10^X − 1,   X = T^(−1.163) · e^(6.9824 − 0.04658·API)</w:t>
        <w:br/>
        <w:t>μob = a · μod^b,  a = 10.715·(Rs+100)^(−0.515),  b = 5.44·(Rs+150)^(−0.338)</w:t>
      </w:r>
    </w:p>
    <w:p>
      <w:r>
        <w:rPr>
          <w:b/>
        </w:rPr>
        <w:t>Densidades in situ</w:t>
      </w:r>
      <w:r>
        <w:t xml:space="preserve"> (balance de masa: la masa del gas disuelto viaja dentro del crudo):</w:t>
      </w:r>
    </w:p>
    <w:p>
      <w:pPr>
        <w:spacing w:before="80" w:after="160"/>
        <w:ind w:left="216"/>
        <w:shd w:val="clear" w:fill="F2F3F5"/>
      </w:pPr>
      <w:r>
        <w:rPr>
          <w:rFonts w:ascii="Consolas" w:hAnsi="Consolas"/>
          <w:color w:val="24292E"/>
          <w:sz w:val="19"/>
        </w:rPr>
        <w:t>ρo = (62.4·γo + 0.0136·Rs·γg) / Bo        ρg = 2.70·γg·P / (z·(T+460))</w:t>
      </w:r>
    </w:p>
    <w:p>
      <w:r>
        <w:rPr>
          <w:b/>
        </w:rPr>
        <w:t>Idea clave:</w:t>
      </w:r>
      <w:r>
        <w:t xml:space="preserve"> el PVT no se evalúa una sola vez — se re-evalúa en cada segmento del pozo durante la integración del paso 3, porque P y T cambian con la profundidad.</w:t>
      </w:r>
    </w:p>
    <w:p>
      <w:pPr>
        <w:pBdr>
          <w:bottom w:val="single" w:sz="6" w:space="1" w:color="AAAAAA"/>
        </w:pBdr>
      </w:pPr>
    </w:p>
    <w:p>
      <w:pPr>
        <w:pStyle w:val="Heading2"/>
      </w:pPr>
      <w:r/>
      <w:r>
        <w:t>1.3 Paso 3 — PIP: integrar el gradiente de presión hasta la bomba</w:t>
      </w:r>
    </w:p>
    <w:p>
      <w:r>
        <w:rPr>
          <w:b/>
        </w:rPr>
        <w:t>Pregunta que responde:</w:t>
      </w:r>
      <w:r>
        <w:t xml:space="preserve"> si en las perforaciones hay </w:t>
      </w:r>
      <w:r>
        <w:rPr>
          <w:rFonts w:ascii="Consolas" w:hAnsi="Consolas"/>
          <w:color w:val="B03060"/>
          <w:sz w:val="20"/>
        </w:rPr>
        <w:t>Pwf</w:t>
      </w:r>
      <w:r>
        <w:t xml:space="preserve">, ¿qué presión queda a la profundidad de instalación de la bomba (la </w:t>
      </w:r>
      <w:r>
        <w:rPr>
          <w:b/>
        </w:rPr>
        <w:t>PIP</w:t>
      </w:r>
      <w:r>
        <w:t>, *Pump Intake Pressure*)?</w:t>
      </w:r>
    </w:p>
    <w:p>
      <w:r>
        <w:t>Entre perforaciones y bomba fluye una mezcla gas-líquido. El gradiente de presión tiene dos términos dominantes (el de aceleración es despreciable en pozos):</w:t>
      </w:r>
    </w:p>
    <w:p>
      <w:pPr>
        <w:spacing w:before="80" w:after="160"/>
        <w:ind w:left="216"/>
        <w:shd w:val="clear" w:fill="F2F3F5"/>
      </w:pPr>
      <w:r>
        <w:rPr>
          <w:rFonts w:ascii="Consolas" w:hAnsi="Consolas"/>
          <w:color w:val="24292E"/>
          <w:sz w:val="19"/>
        </w:rPr>
        <w:t>dP/dz = ρ_slip·sinθ / 144  +  f·ρ_ns·vm² / (2·gc·D·144)     [psi/ft]</w:t>
        <w:br/>
        <w:t xml:space="preserve">        └── gravedad ──┘      └────── fricción ──────┘</w:t>
      </w:r>
    </w:p>
    <w:p>
      <w:r>
        <w:t xml:space="preserve">La dificultad está en </w:t>
      </w:r>
      <w:r>
        <w:rPr>
          <w:rFonts w:ascii="Consolas" w:hAnsi="Consolas"/>
          <w:color w:val="B03060"/>
          <w:sz w:val="20"/>
        </w:rPr>
        <w:t>ρ_slip</w:t>
      </w:r>
      <w:r>
        <w:t xml:space="preserve">: el gas viaja más rápido que el líquido (*slippage*), así que la fracción de líquido presente en la tubería (el </w:t>
      </w:r>
      <w:r>
        <w:rPr>
          <w:b/>
        </w:rPr>
        <w:t>holdup</w:t>
      </w:r>
      <w:r>
        <w:t>, H_L) es mayor que la que sugieren los caudales. Correlaciones implementadas para estimar H_L:</w:t>
      </w:r>
    </w:p>
    <w:p>
      <w:pPr>
        <w:pStyle w:val="ListBullet"/>
      </w:pPr>
      <w:r>
        <w:rPr>
          <w:b/>
        </w:rPr>
        <w:t>Hagedorn &amp; Brown (1965)</w:t>
      </w:r>
      <w:r>
        <w:t xml:space="preserve"> — la de defecto; pozos verticales.</w:t>
      </w:r>
    </w:p>
    <w:p>
      <w:pPr>
        <w:pStyle w:val="ListBullet"/>
      </w:pPr>
      <w:r>
        <w:rPr>
          <w:b/>
        </w:rPr>
        <w:t>Beggs &amp; Brill (1973)</w:t>
      </w:r>
      <w:r>
        <w:t xml:space="preserve"> — pozos inclinados (corrige el holdup por ángulo).</w:t>
      </w:r>
    </w:p>
    <w:p>
      <w:pPr>
        <w:pStyle w:val="ListBullet"/>
      </w:pPr>
      <w:r>
        <w:rPr>
          <w:b/>
        </w:rPr>
        <w:t>Duns &amp; Ros (1963)</w:t>
      </w:r>
      <w:r>
        <w:t xml:space="preserve"> y </w:t>
      </w:r>
      <w:r>
        <w:rPr>
          <w:b/>
        </w:rPr>
        <w:t>Poettmann &amp; Carpenter (1952)</w:t>
      </w:r>
      <w:r>
        <w:t xml:space="preserve"> — disponibles para comparar</w:t>
      </w:r>
    </w:p>
    <w:p>
      <w:r>
        <w:t>en el análisis nodal (P&amp;C es homogénea, sin slip: sirve de contraste histórico).</w:t>
      </w:r>
    </w:p>
    <w:p>
      <w:r>
        <w:rPr>
          <w:b/>
        </w:rPr>
        <w:t>Cómo se integra:</w:t>
      </w:r>
      <w:r>
        <w:t xml:space="preserve"> marcha numérica por segmentos. En cada segmento se evalúa el PVT a la presión y temperatura medias (con pasos correctores, porque el gradiente depende de la presión que se está calculando), se calcula </w:t>
      </w:r>
      <w:r>
        <w:rPr>
          <w:rFonts w:ascii="Consolas" w:hAnsi="Consolas"/>
          <w:color w:val="B03060"/>
          <w:sz w:val="20"/>
        </w:rPr>
        <w:t>dP/dz</w:t>
      </w:r>
      <w:r>
        <w:t xml:space="preserve"> y se avanza:</w:t>
      </w:r>
    </w:p>
    <w:p>
      <w:pPr>
        <w:spacing w:before="80" w:after="160"/>
        <w:ind w:left="216"/>
        <w:shd w:val="clear" w:fill="F2F3F5"/>
      </w:pPr>
      <w:r>
        <w:rPr>
          <w:rFonts w:ascii="Consolas" w:hAnsi="Consolas"/>
          <w:color w:val="24292E"/>
          <w:sz w:val="19"/>
        </w:rPr>
        <w:t>P(i+1) = P(i) ± (dP/dz)·Δz        (− subiendo, + bajando)</w:t>
      </w:r>
    </w:p>
    <w:p>
      <w:r>
        <w:t>La temperatura se interpola lineal entre fondo y boca.</w:t>
      </w:r>
    </w:p>
    <w:p>
      <w:r>
        <w:rPr>
          <w:b/>
        </w:rPr>
        <w:t>Profundidad de la bomba:</w:t>
      </w:r>
      <w:r>
        <w:t xml:space="preserve"> decisión física, no arbitraria:</w:t>
      </w:r>
    </w:p>
    <w:p>
      <w:pPr>
        <w:spacing w:before="80" w:after="160"/>
        <w:ind w:left="216"/>
        <w:shd w:val="clear" w:fill="F2F3F5"/>
      </w:pPr>
      <w:r>
        <w:rPr>
          <w:rFonts w:ascii="Consolas" w:hAnsi="Consolas"/>
          <w:color w:val="24292E"/>
          <w:sz w:val="19"/>
        </w:rPr>
        <w:t>prof_bomba = tope de perforaciones − margen de seguridad del usuario</w:t>
      </w:r>
    </w:p>
    <w:p>
      <w:r>
        <w:t>(la bomba se instala por encima de los punzados, con un margen que fija el diseñador).</w:t>
      </w:r>
    </w:p>
    <w:p>
      <w:r>
        <w:rPr>
          <w:b/>
        </w:rPr>
        <w:t>El mismo motor de cálculo, corriendo hacia arriba por el tubing desde la descarga de la bomba hasta la boca del pozo, da la presión de descarga</w:t>
      </w:r>
      <w:r>
        <w:t xml:space="preserve"> — se usa en el método de gas del paso 7 y en el análisis nodal.</w:t>
      </w:r>
    </w:p>
    <w:p>
      <w:pPr>
        <w:pBdr>
          <w:bottom w:val="single" w:sz="6" w:space="1" w:color="AAAAAA"/>
        </w:pBdr>
      </w:pPr>
    </w:p>
    <w:p>
      <w:pPr>
        <w:pStyle w:val="Heading2"/>
      </w:pPr>
      <w:r/>
      <w:r>
        <w:t>1.4 Paso 4 — TDH: cuánta altura debe desarrollar la bomba</w:t>
      </w:r>
    </w:p>
    <w:p>
      <w:r>
        <w:rPr>
          <w:b/>
        </w:rPr>
        <w:t>Pregunta que responde:</w:t>
      </w:r>
      <w:r>
        <w:t xml:space="preserve"> ¿cuántos pies de columna de líquido tiene que "levantar" la bomba? Es la fórmula central de Brown §4.5324:</w:t>
      </w:r>
    </w:p>
    <w:p>
      <w:pPr>
        <w:spacing w:before="80" w:after="160"/>
        <w:ind w:left="216"/>
        <w:shd w:val="clear" w:fill="F2F3F5"/>
      </w:pPr>
      <w:r>
        <w:rPr>
          <w:rFonts w:ascii="Consolas" w:hAnsi="Consolas"/>
          <w:color w:val="24292E"/>
          <w:sz w:val="19"/>
        </w:rPr>
        <w:t>TDH = Elevación vertical + Fricción en tubing + Altura por presión de boca</w:t>
        <w:br/>
        <w:br/>
        <w:t>Elevación vertical = prof_bomba − (PIP × 2.31 / SG_líquido)</w:t>
        <w:br/>
        <w:t>Fricción           = Hazen-Williams (abajo)</w:t>
        <w:br/>
        <w:t>Altura de boca     = Pwh × 2.31 / SG_líquido</w:t>
      </w:r>
    </w:p>
    <w:p>
      <w:r>
        <w:rPr>
          <w:b/>
        </w:rPr>
        <w:t>Interpretación física de cada término:</w:t>
      </w:r>
    </w:p>
    <w:p>
      <w:pPr>
        <w:pStyle w:val="ListBullet"/>
      </w:pPr>
      <w:r>
        <w:rPr>
          <w:b/>
        </w:rPr>
        <w:t>Elevación vertical:</w:t>
      </w:r>
      <w:r>
        <w:t xml:space="preserve"> la PIP sostiene una columna de líquido de altura</w:t>
      </w:r>
    </w:p>
    <w:p>
      <w:r>
        <w:rPr>
          <w:rFonts w:ascii="Consolas" w:hAnsi="Consolas"/>
          <w:color w:val="B03060"/>
          <w:sz w:val="20"/>
        </w:rPr>
        <w:t>PIP·2.31/SG</w:t>
      </w:r>
      <w:r>
        <w:t xml:space="preserve"> por encima de la bomba (el *nivel dinámico*). La bomba solo debe levantar lo que falta desde ese nivel hasta superficie.</w:t>
      </w:r>
    </w:p>
    <w:p>
      <w:pPr>
        <w:pStyle w:val="ListBullet"/>
      </w:pPr>
      <w:r>
        <w:rPr>
          <w:b/>
        </w:rPr>
        <w:t>Fricción:</w:t>
      </w:r>
      <w:r>
        <w:t xml:space="preserve"> pérdida por rozamiento del caudal en el tubing, con la correlación de</w:t>
      </w:r>
    </w:p>
    <w:p>
      <w:r>
        <w:rPr>
          <w:b/>
        </w:rPr>
        <w:t>Hazen-Williams</w:t>
      </w:r>
      <w:r>
        <w:t xml:space="preserve"> (C = 120 para acero de diseño, q en gpm, d en pulgadas):</w:t>
      </w:r>
    </w:p>
    <w:p>
      <w:pPr>
        <w:spacing w:before="80" w:after="160"/>
        <w:ind w:left="216"/>
        <w:shd w:val="clear" w:fill="F2F3F5"/>
      </w:pPr>
      <w:r>
        <w:rPr>
          <w:rFonts w:ascii="Consolas" w:hAnsi="Consolas"/>
          <w:color w:val="24292E"/>
          <w:sz w:val="19"/>
        </w:rPr>
        <w:t>h_f = 0.2083 · (100/C)^1.852 · q^1.852 / d^4.8655 · (L/100)     [ft]</w:t>
      </w:r>
    </w:p>
    <w:p>
      <w:pPr>
        <w:pStyle w:val="ListBullet"/>
      </w:pPr>
      <w:r>
        <w:rPr>
          <w:b/>
        </w:rPr>
        <w:t>Altura de boca:</w:t>
      </w:r>
      <w:r>
        <w:t xml:space="preserve"> la presión que exige el separador/línea en superficie, convertida</w:t>
      </w:r>
    </w:p>
    <w:p>
      <w:r>
        <w:t>a columna de líquido.</w:t>
      </w:r>
    </w:p>
    <w:p>
      <w:r>
        <w:rPr>
          <w:b/>
        </w:rPr>
        <w:t>El factor 2.31:</w:t>
      </w:r>
      <w:r>
        <w:t xml:space="preserve"> una columna de 2.31 ft de agua dulce ejerce 1 psi. Para otro fluido se divide por su SG (fluido más denso → columna más corta para la misma presión).</w:t>
      </w:r>
    </w:p>
    <w:p>
      <w:pPr>
        <w:pBdr>
          <w:bottom w:val="single" w:sz="6" w:space="1" w:color="AAAAAA"/>
        </w:pBdr>
      </w:pPr>
    </w:p>
    <w:p>
      <w:pPr>
        <w:pStyle w:val="Heading2"/>
      </w:pPr>
      <w:r/>
      <w:r>
        <w:t>1.5 Paso 5 — Selección hidráulica: bomba, etapas y potencia</w:t>
      </w:r>
    </w:p>
    <w:p>
      <w:r>
        <w:rPr>
          <w:b/>
        </w:rPr>
        <w:t>Pregunta que responde:</w:t>
      </w:r>
      <w:r>
        <w:t xml:space="preserve"> de las bombas del catálogo, ¿cuáles sirven, con cuántas etapas y qué potencia consumen?</w:t>
      </w:r>
    </w:p>
    <w:p>
      <w:r>
        <w:rPr>
          <w:b/>
        </w:rPr>
        <w:t>Filtros previos</w:t>
      </w:r>
      <w:r>
        <w:t xml:space="preserve"> (por cada bomba del catálogo):</w:t>
      </w:r>
    </w:p>
    <w:p>
      <w:pPr>
        <w:pStyle w:val="ListNumber"/>
      </w:pPr>
      <w:r>
        <w:rPr>
          <w:b/>
        </w:rPr>
        <w:t>Geométrico:</w:t>
      </w:r>
      <w:r>
        <w:t xml:space="preserve"> el OD de la bomba debe caber en el diámetro interno del casing.</w:t>
      </w:r>
    </w:p>
    <w:p>
      <w:pPr>
        <w:pStyle w:val="ListNumber"/>
      </w:pPr>
      <w:r>
        <w:rPr>
          <w:b/>
        </w:rPr>
        <w:t>Hidráulico:</w:t>
      </w:r>
      <w:r>
        <w:t xml:space="preserve"> el caudal objetivo debe caer dentro del rango recomendado de la bomba</w:t>
      </w:r>
    </w:p>
    <w:p>
      <w:r>
        <w:t>(fuera de rango la eficiencia se derrumba y aparece empuje axial).</w:t>
      </w:r>
    </w:p>
    <w:p>
      <w:r>
        <w:rPr>
          <w:b/>
        </w:rPr>
        <w:t>Lectura de curva:</w:t>
      </w:r>
      <w:r>
        <w:t xml:space="preserve"> cada bomba tiene su curva de rendimiento (altura/etapa, hp/etapa y eficiencia vs. caudal), digitalizada en 10–11 puntos e interpolada linealmente al caudal de operación.</w:t>
      </w:r>
    </w:p>
    <w:p>
      <w:r>
        <w:rPr>
          <w:b/>
        </w:rPr>
        <w:t>Número de etapas.</w:t>
      </w:r>
      <w:r>
        <w:t xml:space="preserve"> Cada etapa aporta </w:t>
      </w:r>
      <w:r>
        <w:rPr>
          <w:rFonts w:ascii="Consolas" w:hAnsi="Consolas"/>
          <w:color w:val="B03060"/>
          <w:sz w:val="20"/>
        </w:rPr>
        <w:t>h_stage(q)</w:t>
      </w:r>
      <w:r>
        <w:t xml:space="preserve"> pies de altura; se apilan hasta cubrir el TDH (redondeo hacia arriba: una fracción de etapa no existe):</w:t>
      </w:r>
    </w:p>
    <w:p>
      <w:pPr>
        <w:spacing w:before="80" w:after="160"/>
        <w:ind w:left="216"/>
        <w:shd w:val="clear" w:fill="F2F3F5"/>
      </w:pPr>
      <w:r>
        <w:rPr>
          <w:rFonts w:ascii="Consolas" w:hAnsi="Consolas"/>
          <w:color w:val="24292E"/>
          <w:sz w:val="19"/>
        </w:rPr>
        <w:t>N_etapas = ⌈ TDH / h_stage(q) ⌉</w:t>
      </w:r>
    </w:p>
    <w:p>
      <w:r>
        <w:rPr>
          <w:b/>
        </w:rPr>
        <w:t>Potencia al eje.</w:t>
      </w:r>
      <w:r>
        <w:t xml:space="preserve"> El hp/etapa del catálogo está medido con agua (SG = 1); para el fluido real se corrige por la gravedad específica de la mezcla:</w:t>
      </w:r>
    </w:p>
    <w:p>
      <w:pPr>
        <w:spacing w:before="80" w:after="160"/>
        <w:ind w:left="216"/>
        <w:shd w:val="clear" w:fill="F2F3F5"/>
      </w:pPr>
      <w:r>
        <w:rPr>
          <w:rFonts w:ascii="Consolas" w:hAnsi="Consolas"/>
          <w:color w:val="24292E"/>
          <w:sz w:val="19"/>
        </w:rPr>
        <w:t>HP = N_etapas × hp_stage(q) × SG_fluido</w:t>
      </w:r>
    </w:p>
    <w:p>
      <w:r>
        <w:rPr>
          <w:b/>
        </w:rPr>
        <w:t>Corrección por viscosidad (Hydraulic Institute).</w:t>
      </w:r>
      <w:r>
        <w:t xml:space="preserve"> Si el fluido es viscoso, la bomba entrega menos caudal y menos altura y pierde eficiencia respecto de la curva de agua. Se aplican los factores tabulados C_Q, C_H, C_E del estándar HI 9.6.7 (interpolados según la viscosidad cinemática; para μ ≤ 20 SSU valen 1 y no hay corrección).</w:t>
      </w:r>
    </w:p>
    <w:p>
      <w:r>
        <w:rPr>
          <w:b/>
        </w:rPr>
        <w:t>El BEP (Best Efficiency Point):</w:t>
      </w:r>
      <w:r>
        <w:t xml:space="preserve"> el caudal de máxima eficiencia de la bomba. Es el concepto rector de la selección: operar lejos del BEP no solo gasta más energía — genera </w:t>
      </w:r>
      <w:r>
        <w:rPr>
          <w:b/>
        </w:rPr>
        <w:t>empuje axial</w:t>
      </w:r>
      <w:r>
        <w:t xml:space="preserve"> (downthrust/upthrust) que desgasta los cojinetes y acorta la vida del equipo (Brown §4.5325). Por eso es el criterio nº 1 del ordenamiento (paso 8).</w:t>
      </w:r>
    </w:p>
    <w:p>
      <w:pPr>
        <w:pBdr>
          <w:bottom w:val="single" w:sz="6" w:space="1" w:color="AAAAAA"/>
        </w:pBdr>
      </w:pPr>
    </w:p>
    <w:p>
      <w:pPr>
        <w:pStyle w:val="Heading2"/>
      </w:pPr>
      <w:r/>
      <w:r>
        <w:t>1.6 Paso 6 — Diseño eléctrico: motor, cable, transformador, protector</w:t>
      </w:r>
    </w:p>
    <w:p>
      <w:r>
        <w:rPr>
          <w:b/>
        </w:rPr>
        <w:t>Pregunta que responde:</w:t>
      </w:r>
      <w:r>
        <w:t xml:space="preserve"> ¿cómo alimento la potencia calculada en el fondo del pozo?</w:t>
      </w:r>
    </w:p>
    <w:p>
      <w:r>
        <w:rPr>
          <w:b/>
        </w:rPr>
        <w:t>Motor.</w:t>
      </w:r>
      <w:r>
        <w:t xml:space="preserve"> Se elige el de menor potencia nominal que cumpla:</w:t>
      </w:r>
    </w:p>
    <w:p>
      <w:pPr>
        <w:pStyle w:val="ListBullet"/>
      </w:pPr>
      <w:r>
        <w:rPr>
          <w:rFonts w:ascii="Consolas" w:hAnsi="Consolas"/>
          <w:color w:val="B03060"/>
          <w:sz w:val="20"/>
        </w:rPr>
        <w:t>HP_nominal ≥ HP_bomba × 1.10</w:t>
      </w:r>
      <w:r>
        <w:t xml:space="preserve"> (margen de placa del 10 %);</w:t>
      </w:r>
    </w:p>
    <w:p>
      <w:pPr>
        <w:pStyle w:val="ListBullet"/>
      </w:pPr>
      <w:r>
        <w:t xml:space="preserve">cabe en el casing </w:t>
      </w:r>
      <w:r>
        <w:rPr>
          <w:b/>
        </w:rPr>
        <w:t>dejando claro anular para que pase el cable</w:t>
      </w:r>
      <w:r>
        <w:t>:</w:t>
      </w:r>
    </w:p>
    <w:p>
      <w:r>
        <w:rPr>
          <w:rFonts w:ascii="Consolas" w:hAnsi="Consolas"/>
          <w:color w:val="B03060"/>
          <w:sz w:val="20"/>
        </w:rPr>
        <w:t>OD_motor + 2×espesor_cable ≤ ID_casing</w:t>
      </w:r>
      <w:r>
        <w:t>;</w:t>
      </w:r>
    </w:p>
    <w:p>
      <w:pPr>
        <w:pStyle w:val="ListBullet"/>
      </w:pPr>
      <w:r>
        <w:t>tensión nominal cercana al objetivo por potencia (≤70 HP → ~800 V; 71–200 HP → ~1200 V;</w:t>
      </w:r>
    </w:p>
    <w:p>
      <w:pPr>
        <w:ind w:left="432"/>
      </w:pPr>
      <w:r>
        <w:rPr>
          <w:i/>
        </w:rPr>
        <w:t>200 HP → ~2000 V). Más tensión ⇒ menos corriente ⇒ menos caída en el cable, pero</w:t>
      </w:r>
    </w:p>
    <w:p>
      <w:r>
        <w:t>transformador más caro.</w:t>
      </w:r>
    </w:p>
    <w:p>
      <w:r>
        <w:rPr>
          <w:b/>
        </w:rPr>
        <w:t>Cable.</w:t>
      </w:r>
      <w:r>
        <w:t xml:space="preserve"> Tres verificaciones y una optimización:</w:t>
      </w:r>
    </w:p>
    <w:p>
      <w:pPr>
        <w:pStyle w:val="ListBullet"/>
      </w:pPr>
      <w:r>
        <w:t xml:space="preserve">ampacidad: </w:t>
      </w:r>
      <w:r>
        <w:rPr>
          <w:rFonts w:ascii="Consolas" w:hAnsi="Consolas"/>
          <w:color w:val="B03060"/>
          <w:sz w:val="20"/>
        </w:rPr>
        <w:t>max_amps ≥ I_motor × 1.25</w:t>
      </w:r>
      <w:r>
        <w:t xml:space="preserve"> (derrateo por servicio continuo, práctica NEC);</w:t>
      </w:r>
    </w:p>
    <w:p>
      <w:pPr>
        <w:pStyle w:val="ListBullet"/>
      </w:pPr>
      <w:r>
        <w:t>temperatura nominal ≥ temperatura de fondo + 25 °F;</w:t>
      </w:r>
    </w:p>
    <w:p>
      <w:pPr>
        <w:pStyle w:val="ListBullet"/>
      </w:pPr>
      <w:r>
        <w:t>geometría: el cable plano debe caber en el claro anular casing–motor;</w:t>
      </w:r>
    </w:p>
    <w:p>
      <w:pPr>
        <w:pStyle w:val="ListBullet"/>
      </w:pPr>
      <w:r>
        <w:t xml:space="preserve">entre los aptos se elige el de </w:t>
      </w:r>
      <w:r>
        <w:rPr>
          <w:b/>
        </w:rPr>
        <w:t>menor caída de tensión</w:t>
      </w:r>
      <w:r>
        <w:t xml:space="preserve"> (tabla V/A/1000 ft, interpolada</w:t>
      </w:r>
    </w:p>
    <w:p>
      <w:r>
        <w:t>a la temperatura del pozo — datos de la Tabla 4.52 de Brown).</w:t>
      </w:r>
    </w:p>
    <w:p>
      <w:pPr>
        <w:spacing w:before="80" w:after="160"/>
        <w:ind w:left="216"/>
        <w:shd w:val="clear" w:fill="F2F3F5"/>
      </w:pPr>
      <w:r>
        <w:rPr>
          <w:rFonts w:ascii="Consolas" w:hAnsi="Consolas"/>
          <w:color w:val="24292E"/>
          <w:sz w:val="19"/>
        </w:rPr>
        <w:t>ΔV = v_drop(T) × I × L/1000        L = prof_bomba + 100 ft</w:t>
      </w:r>
    </w:p>
    <w:p>
      <w:r>
        <w:rPr>
          <w:b/>
        </w:rPr>
        <w:t>Tensión de superficie y transformador:</w:t>
      </w:r>
    </w:p>
    <w:p>
      <w:pPr>
        <w:spacing w:before="80" w:after="160"/>
        <w:ind w:left="216"/>
        <w:shd w:val="clear" w:fill="F2F3F5"/>
      </w:pPr>
      <w:r>
        <w:rPr>
          <w:rFonts w:ascii="Consolas" w:hAnsi="Consolas"/>
          <w:color w:val="24292E"/>
          <w:sz w:val="19"/>
        </w:rPr>
        <w:t>V_superficie = (V_motor + ΔV_cable) × 1.025      (2.5 % de pérdida de trafo)</w:t>
        <w:br/>
        <w:t>kVA = √3 × V_superficie × I / 1000               (trifásico)</w:t>
      </w:r>
    </w:p>
    <w:p>
      <w:r>
        <w:t>El transformador es el tamaño estándar inmediato superior al kVA demandado.</w:t>
      </w:r>
    </w:p>
    <w:p>
      <w:r>
        <w:rPr>
          <w:b/>
        </w:rPr>
        <w:t>Protector/sello.</w:t>
      </w:r>
      <w:r>
        <w:t xml:space="preserve"> Se estima el empuje axial sobre el eje (Takács):</w:t>
      </w:r>
    </w:p>
    <w:p>
      <w:pPr>
        <w:spacing w:before="80" w:after="160"/>
        <w:ind w:left="216"/>
        <w:shd w:val="clear" w:fill="F2F3F5"/>
      </w:pPr>
      <w:r>
        <w:rPr>
          <w:rFonts w:ascii="Consolas" w:hAnsi="Consolas"/>
          <w:color w:val="24292E"/>
          <w:sz w:val="19"/>
        </w:rPr>
        <w:t>ΔP_bomba = TDH × 0.433 × SG        F_axial = ΔP_bomba × (π/4)·d_eje² × 1.20</w:t>
      </w:r>
    </w:p>
    <w:p>
      <w:r>
        <w:t>y se elige el protector de la serie del motor que soporte esa carga y la temperatura, prefiriendo laberinto en pozos verticales y bolsa en desviados (&gt;30°).</w:t>
      </w:r>
    </w:p>
    <w:p>
      <w:pPr>
        <w:pBdr>
          <w:bottom w:val="single" w:sz="6" w:space="1" w:color="AAAAAA"/>
        </w:pBdr>
      </w:pPr>
    </w:p>
    <w:p>
      <w:pPr>
        <w:pStyle w:val="Heading2"/>
      </w:pPr>
      <w:r/>
      <w:r>
        <w:t>1.7 Paso 7 — Gas libre en la admisión</w:t>
      </w:r>
    </w:p>
    <w:p>
      <w:r>
        <w:rPr>
          <w:b/>
        </w:rPr>
        <w:t>Pregunta que responde:</w:t>
      </w:r>
      <w:r>
        <w:t xml:space="preserve"> ¿cuánto gas libre entra a la bomba y qué hago si es demasiado?</w:t>
      </w:r>
    </w:p>
    <w:p>
      <w:r>
        <w:t>A la presión de admisión (PIP), parte del gas ya salió de solución. La fracción volumétrica de gas libre que ingiere la bomba:</w:t>
      </w:r>
    </w:p>
    <w:p>
      <w:pPr>
        <w:spacing w:before="80" w:after="160"/>
        <w:ind w:left="216"/>
        <w:shd w:val="clear" w:fill="F2F3F5"/>
      </w:pPr>
      <w:r>
        <w:rPr>
          <w:rFonts w:ascii="Consolas" w:hAnsi="Consolas"/>
          <w:color w:val="24292E"/>
          <w:sz w:val="19"/>
        </w:rPr>
        <w:t>f_g = V_gas / (V_oil + V_water + V_gas)</w:t>
        <w:br/>
        <w:t>V_gas = (1 − f_w) · (GOR − Rs) · Bg          (el gas libre es el exceso sobre Rs)</w:t>
      </w:r>
    </w:p>
    <w:p>
      <w:r>
        <w:rPr>
          <w:b/>
        </w:rPr>
        <w:t>Umbrales de riesgo de bloqueo por gas (gas lock):</w:t>
      </w:r>
      <w:r>
        <w:t xml:space="preserve"> f_g &lt; 10 % bajo; 10–30 % medio (considerar separador de fondo); &gt; 30 % alto (separador obligatorio o rediseñar más profundo, donde la PIP es mayor y hay menos gas libre).</w:t>
      </w:r>
    </w:p>
    <w:p>
      <w:r>
        <w:rPr>
          <w:b/>
        </w:rPr>
        <w:t>Método de incrementos de presión (Brown §4.53103, para pozos gasíferos).</w:t>
      </w:r>
      <w:r>
        <w:t xml:space="preserve"> Con mucho gas, tratar el pozo con un caudal único es un error: el volumen de la mezcla cambia drásticamente a medida que la presión sube etapa a etapa (el gas se comprime y se redisuelve). El método divide el recorrido [P_admisión → P_descarga] en pasos de 200 psi y, en cada tramo, con el PVT evaluado en el punto medio:</w:t>
      </w:r>
    </w:p>
    <w:p>
      <w:pPr>
        <w:spacing w:before="80" w:after="160"/>
        <w:ind w:left="216"/>
        <w:shd w:val="clear" w:fill="F2F3F5"/>
      </w:pPr>
      <w:r>
        <w:rPr>
          <w:rFonts w:ascii="Consolas" w:hAnsi="Consolas"/>
          <w:color w:val="24292E"/>
          <w:sz w:val="19"/>
        </w:rPr>
        <w:t>q_res       = q_objetivo × V_total(P_medio)       caudal in situ del tramo</w:t>
        <w:br/>
        <w:t>gradiente   = ρ_mezcla / 144                       [psi/ft]</w:t>
        <w:br/>
        <w:t>psi/etapa   = h_stage(q_res) × gradiente</w:t>
        <w:br/>
        <w:t>N_etapas    = ⌈ ΔP_tramo / (psi/etapa) ⌉</w:t>
      </w:r>
    </w:p>
    <w:p>
      <w:r>
        <w:t xml:space="preserve">Como el caudal in situ cae al subir la presión, puede convenir </w:t>
      </w:r>
      <w:r>
        <w:rPr>
          <w:b/>
        </w:rPr>
        <w:t>combinar dos modelos de bomba</w:t>
      </w:r>
      <w:r>
        <w:t xml:space="preserve"> (diseño *tapered*: una bomba grande abajo, una chica arriba), tal como en el Ejemplo 3B del libro.</w:t>
      </w:r>
    </w:p>
    <w:p>
      <w:pPr>
        <w:pBdr>
          <w:bottom w:val="single" w:sz="6" w:space="1" w:color="AAAAAA"/>
        </w:pBdr>
      </w:pPr>
    </w:p>
    <w:p>
      <w:pPr>
        <w:pStyle w:val="Heading2"/>
      </w:pPr>
      <w:r/>
      <w:r>
        <w:t>1.8 Paso 8 — Ordenamiento de alternativas (sin puntajes)</w:t>
      </w:r>
    </w:p>
    <w:p>
      <w:r>
        <w:t xml:space="preserve">Todas las bombas que sobrevivieron los filtros tienen ya su diseño completo. Se ordenan por </w:t>
      </w:r>
      <w:r>
        <w:rPr>
          <w:b/>
        </w:rPr>
        <w:t>clave lexicográfica estricta</w:t>
      </w:r>
      <w:r>
        <w:t xml:space="preserve"> — como ordenar palabras en el diccionario: el criterio 2 solo desempata igualdades del 1, y el 3 solo de los dos primeros.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CE6F1"/>
          </w:tcPr>
          <w:p>
            <w:r>
              <w:rPr>
                <w:b/>
              </w:rPr>
            </w:r>
            <w:r>
              <w:rPr>
                <w:b/>
              </w:rPr>
              <w:t>Prioridad</w:t>
            </w:r>
          </w:p>
        </w:tc>
        <w:tc>
          <w:tcPr>
            <w:tcW w:type="dxa" w:w="2160"/>
            <w:shd w:val="clear" w:fill="DCE6F1"/>
          </w:tcPr>
          <w:p>
            <w:r>
              <w:rPr>
                <w:b/>
              </w:rPr>
            </w:r>
            <w:r>
              <w:rPr>
                <w:b/>
              </w:rPr>
              <w:t>Criterio</w:t>
            </w:r>
          </w:p>
        </w:tc>
        <w:tc>
          <w:tcPr>
            <w:tcW w:type="dxa" w:w="2160"/>
            <w:shd w:val="clear" w:fill="DCE6F1"/>
          </w:tcPr>
          <w:p>
            <w:r>
              <w:rPr>
                <w:b/>
              </w:rPr>
            </w:r>
            <w:r>
              <w:rPr>
                <w:b/>
              </w:rPr>
              <w:t>Fórmula</w:t>
            </w:r>
          </w:p>
        </w:tc>
        <w:tc>
          <w:tcPr>
            <w:tcW w:type="dxa" w:w="2160"/>
            <w:shd w:val="clear" w:fill="DCE6F1"/>
          </w:tcPr>
          <w:p>
            <w:r>
              <w:rPr>
                <w:b/>
              </w:rPr>
            </w:r>
            <w:r>
              <w:rPr>
                <w:b/>
              </w:rPr>
              <w:t>Sentido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Distancia al BEP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  <w:sz w:val="20"/>
              </w:rPr>
              <w:t>d = |q − q_BEP| / q_BEP</w:t>
            </w:r>
          </w:p>
        </w:tc>
        <w:tc>
          <w:tcPr>
            <w:tcW w:type="dxa" w:w="2160"/>
          </w:tcPr>
          <w:p>
            <w:r/>
            <w:r>
              <w:t>menor es mejor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Eficiencia hidráulica</w:t>
            </w:r>
          </w:p>
        </w:tc>
        <w:tc>
          <w:tcPr>
            <w:tcW w:type="dxa" w:w="2160"/>
          </w:tcPr>
          <w:p>
            <w:r/>
            <w:r>
              <w:t>η(q) leída de la curva</w:t>
            </w:r>
          </w:p>
        </w:tc>
        <w:tc>
          <w:tcPr>
            <w:tcW w:type="dxa" w:w="2160"/>
          </w:tcPr>
          <w:p>
            <w:r/>
            <w:r>
              <w:t>mayor es mejor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Potencia al eje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  <w:sz w:val="20"/>
              </w:rPr>
              <w:t>HP = etapas × hp/etapa × SG</w:t>
            </w:r>
          </w:p>
        </w:tc>
        <w:tc>
          <w:tcPr>
            <w:tcW w:type="dxa" w:w="2160"/>
          </w:tcPr>
          <w:p>
            <w:r/>
            <w:r>
              <w:t>menor es mejor</w:t>
            </w:r>
          </w:p>
        </w:tc>
      </w:tr>
    </w:tbl>
    <w:p/>
    <w:p>
      <w:r>
        <w:rPr>
          <w:b/>
        </w:rPr>
        <w:t>No hay pesos, ni escalas 0–10, ni preferencia de proveedor.</w:t>
      </w:r>
      <w:r>
        <w:t xml:space="preserve"> El fabricante se informa pero no ordena. La clasificación de la distancia al BEP (≤10 % óptimo, ≤25 % aceptable,</w:t>
      </w:r>
    </w:p>
    <w:p>
      <w:pPr>
        <w:ind w:left="432"/>
      </w:pPr>
      <w:r>
        <w:rPr>
          <w:i/>
        </w:rPr>
        <w:t>25 % alejado) es solo etiqueta de visualización y nunca interviene en el orden.</w:t>
      </w:r>
    </w:p>
    <w:p>
      <w:r>
        <w:rPr>
          <w:b/>
        </w:rPr>
        <w:t>Por qué se abandonó el scoring ponderado</w:t>
      </w:r>
      <w:r>
        <w:t xml:space="preserve"> (versión anterior: eficiencia 40 % / flexibilidad 30 % / proveedor 30 %): los pesos eran arbitrarios —indefendibles ante la pregunta "¿por qué 40 y no 45?"— y el proveedor no es una propiedad física del diseño. El ordenamiento lexicográfico, en cambio, se defiende con Brown §4.5325: primero vida útil (BEP), después eficiencia energética, después demanda de potencia.</w:t>
      </w:r>
    </w:p>
    <w:p>
      <w:pPr>
        <w:pBdr>
          <w:bottom w:val="single" w:sz="6" w:space="1" w:color="AAAAAA"/>
        </w:pBdr>
      </w:pPr>
    </w:p>
    <w:p>
      <w:pPr>
        <w:pStyle w:val="Heading2"/>
      </w:pPr>
      <w:r/>
      <w:r>
        <w:t>1.9 Ejemplo resuelto — el #2A del libro (memorizarlo)</w:t>
      </w:r>
    </w:p>
    <w:p>
      <w:r>
        <w:t xml:space="preserve">Pozo del Ejemplo 2A de Brown: petróleo sin gas libre en la admisión, caudal objetivo </w:t>
      </w:r>
      <w:r>
        <w:rPr>
          <w:b/>
        </w:rPr>
        <w:t>1 227 bpd</w:t>
      </w:r>
      <w:r>
        <w:t>, casing 5½". Con la bomba del libro (</w:t>
      </w:r>
      <w:r>
        <w:rPr>
          <w:b/>
        </w:rPr>
        <w:t>Reda D-40</w:t>
      </w:r>
      <w:r>
        <w:t>, serie 400, OD 4.00"):</w:t>
      </w:r>
    </w:p>
    <w:p>
      <w:pPr>
        <w:pStyle w:val="ListNumber"/>
      </w:pPr>
      <w:r>
        <w:t xml:space="preserve">El TDH calculado por el libro es </w:t>
      </w:r>
      <w:r>
        <w:rPr>
          <w:b/>
        </w:rPr>
        <w:t>5 830 ft</w:t>
      </w:r>
      <w:r>
        <w:t>.</w:t>
      </w:r>
    </w:p>
    <w:p>
      <w:pPr>
        <w:pStyle w:val="ListNumber"/>
      </w:pPr>
      <w:r>
        <w:t xml:space="preserve">La curva de la D-40 a 1 227 bpd da </w:t>
      </w:r>
      <w:r>
        <w:rPr>
          <w:b/>
        </w:rPr>
        <w:t>23.0 ft/etapa</w:t>
      </w:r>
      <w:r>
        <w:t xml:space="preserve"> →</w:t>
      </w:r>
    </w:p>
    <w:p>
      <w:r>
        <w:rPr>
          <w:rFonts w:ascii="Consolas" w:hAnsi="Consolas"/>
          <w:color w:val="B03060"/>
          <w:sz w:val="20"/>
        </w:rPr>
        <w:t>⌈5830 / 23.0⌉ = ⌈253.48⌉ =</w:t>
      </w:r>
      <w:r>
        <w:t xml:space="preserve"> </w:t>
      </w:r>
      <w:r>
        <w:rPr>
          <w:b/>
        </w:rPr>
        <w:t>254 etapas</w:t>
      </w:r>
      <w:r>
        <w:t>.</w:t>
      </w:r>
    </w:p>
    <w:p>
      <w:pPr>
        <w:pStyle w:val="ListNumber"/>
      </w:pPr>
      <w:r>
        <w:t xml:space="preserve">A ese caudal la curva da </w:t>
      </w:r>
      <w:r>
        <w:rPr>
          <w:b/>
        </w:rPr>
        <w:t>0.350 hp/etapa</w:t>
      </w:r>
      <w:r>
        <w:t xml:space="preserve"> (con agua). Con SG de la mezcla 0.889:</w:t>
      </w:r>
    </w:p>
    <w:p>
      <w:r>
        <w:rPr>
          <w:rFonts w:ascii="Consolas" w:hAnsi="Consolas"/>
          <w:color w:val="B03060"/>
          <w:sz w:val="20"/>
        </w:rPr>
        <w:t>254 × 0.350 × 0.889 ≈</w:t>
      </w:r>
      <w:r>
        <w:t xml:space="preserve"> </w:t>
      </w:r>
      <w:r>
        <w:rPr>
          <w:b/>
        </w:rPr>
        <w:t>79 hp</w:t>
      </w:r>
      <w:r>
        <w:t>.</w:t>
      </w:r>
    </w:p>
    <w:p>
      <w:pPr>
        <w:pStyle w:val="ListNumber"/>
      </w:pPr>
      <w:r>
        <w:t>Motor: el inmediato superior con margen ≥ 10 % en serie compatible con el casing.</w:t>
      </w:r>
    </w:p>
    <w:p>
      <w:r>
        <w:t>Estos tres números (5 830 ft / 254 etapas / ~79 hp) son un test de regresión de la app (</w:t>
      </w:r>
      <w:r>
        <w:rPr>
          <w:rFonts w:ascii="Consolas" w:hAnsi="Consolas"/>
          <w:color w:val="B03060"/>
          <w:sz w:val="20"/>
        </w:rPr>
        <w:t>tests/test_pump_design.py</w:t>
      </w:r>
      <w:r>
        <w:t>): si un cambio de código los altera, la suite falla.</w:t>
      </w:r>
    </w:p>
    <w:p>
      <w:r>
        <w:t xml:space="preserve">Los otros dos anclajes: </w:t>
      </w:r>
      <w:r>
        <w:rPr>
          <w:b/>
        </w:rPr>
        <w:t>#1A</w:t>
      </w:r>
      <w:r>
        <w:t xml:space="preserve"> (agua, 10 000 bpd, Centrilift I-300: TDH 1 670 ft, 28 etapas, ~180 hp) y </w:t>
      </w:r>
      <w:r>
        <w:rPr>
          <w:b/>
        </w:rPr>
        <w:t>#2B</w:t>
      </w:r>
      <w:r>
        <w:t xml:space="preserve"> (Centrilift I-42B, ~2 080 bpd: TDH 4 258 ft, 112 etapas, ~65 hp).</w:t>
      </w:r>
    </w:p>
    <w:p>
      <w:pPr>
        <w:pStyle w:val="Heading2"/>
      </w:pPr>
      <w:r/>
      <w:r>
        <w:t>1.10 Análisis nodal (complemento, Brown Vol. 4)</w:t>
      </w:r>
    </w:p>
    <w:p>
      <w:r>
        <w:t xml:space="preserve">El diseño de arriba fija un caudal objetivo. El análisis nodal responde la pregunta inversa: </w:t>
      </w:r>
      <w:r>
        <w:rPr>
          <w:b/>
        </w:rPr>
        <w:t>¿a qué caudal opera realmente el sistema?</w:t>
      </w:r>
      <w:r>
        <w:t xml:space="preserve"> Se cruzan dos curvas en el nodo (el fondo del pozo):</w:t>
      </w:r>
    </w:p>
    <w:p>
      <w:pPr>
        <w:pStyle w:val="ListBullet"/>
      </w:pPr>
      <w:r>
        <w:rPr>
          <w:b/>
        </w:rPr>
        <w:t>Oferta (IPR):</w:t>
      </w:r>
      <w:r>
        <w:t xml:space="preserve"> qué Pwf da el reservorio para cada caudal (curva descendente).</w:t>
      </w:r>
    </w:p>
    <w:p>
      <w:pPr>
        <w:pStyle w:val="ListBullet"/>
      </w:pPr>
      <w:r>
        <w:rPr>
          <w:b/>
        </w:rPr>
        <w:t>Demanda (outflow):</w:t>
      </w:r>
      <w:r>
        <w:t xml:space="preserve"> qué Pwf exige el sistema de tuberías para levantar cada caudal</w:t>
      </w:r>
    </w:p>
    <w:p>
      <w:r>
        <w:t>(curva creciente en J, calculada con el mismo traverse multifásico del paso 3).</w:t>
      </w:r>
    </w:p>
    <w:p>
      <w:r>
        <w:t xml:space="preserve">La intersección es el </w:t>
      </w:r>
      <w:r>
        <w:rPr>
          <w:b/>
        </w:rPr>
        <w:t>punto de operación natural</w:t>
      </w:r>
      <w:r>
        <w:t xml:space="preserve">. Con BES, la bomba aporta </w:t>
      </w:r>
      <w:r>
        <w:rPr>
          <w:rFonts w:ascii="Consolas" w:hAnsi="Consolas"/>
          <w:color w:val="B03060"/>
          <w:sz w:val="20"/>
        </w:rPr>
        <w:t>ΔP = TDH × 0.433 × SG</w:t>
      </w:r>
      <w:r>
        <w:t xml:space="preserve"> y la curva de demanda baja: la nueva intersección es el punto de operación con bomba. La app además permite comparar las cuatro correlaciones multifásicas y simular la declinación de la presión de reservorio.</w:t>
      </w:r>
    </w:p>
    <w:p>
      <w:pPr>
        <w:pStyle w:val="Heading2"/>
      </w:pPr>
      <w:r/>
      <w:r>
        <w:t>1.11 Autoevaluación (respuestas en los apartados de arriba)</w:t>
      </w:r>
    </w:p>
    <w:p>
      <w:pPr>
        <w:pStyle w:val="ListNumber"/>
      </w:pPr>
      <w:r>
        <w:t>¿Por qué Vogel curva la IPR por debajo de Pb y la lineal no?</w:t>
      </w:r>
    </w:p>
    <w:p>
      <w:pPr>
        <w:pStyle w:val="ListNumber"/>
      </w:pPr>
      <w:r>
        <w:t>¿Qué es el holdup y por qué la densidad de la mezcla no sale de los caudales de</w:t>
      </w:r>
    </w:p>
    <w:p>
      <w:r>
        <w:t>superficie?</w:t>
      </w:r>
    </w:p>
    <w:p>
      <w:pPr>
        <w:pStyle w:val="ListNumber"/>
      </w:pPr>
      <w:r>
        <w:t>Descomponer el TDH en sus tres términos y explicar el 2.31.</w:t>
      </w:r>
    </w:p>
    <w:p>
      <w:pPr>
        <w:pStyle w:val="ListNumber"/>
      </w:pPr>
      <w:r>
        <w:t>¿Por qué el hp/etapa del catálogo se multiplica por SG?</w:t>
      </w:r>
    </w:p>
    <w:p>
      <w:pPr>
        <w:pStyle w:val="ListNumber"/>
      </w:pPr>
      <w:r>
        <w:t>¿Por qué operar lejos del BEP acorta la vida de la bomba?</w:t>
      </w:r>
    </w:p>
    <w:p>
      <w:pPr>
        <w:pStyle w:val="ListNumber"/>
      </w:pPr>
      <w:r>
        <w:t>¿Cuándo hace falta el método de incrementos de 200 psi y qué es un diseño tapered?</w:t>
      </w:r>
    </w:p>
    <w:p>
      <w:pPr>
        <w:pStyle w:val="ListNumber"/>
      </w:pPr>
      <w:r>
        <w:t>¿Por qué el motor se elige con 10 % de margen y el cable con 25 % de ampacidad?</w:t>
      </w:r>
    </w:p>
    <w:p>
      <w:pPr>
        <w:pStyle w:val="ListNumber"/>
      </w:pPr>
      <w:r>
        <w:t>¿Por qué se reemplazó el scoring ponderado por ordenamiento lexicográfico?</w:t>
      </w:r>
    </w:p>
    <w:p>
      <w:pPr>
        <w:pBdr>
          <w:bottom w:val="single" w:sz="6" w:space="1" w:color="AAAAAA"/>
        </w:pBdr>
      </w:pPr>
    </w:p>
    <w:p>
      <w:pPr>
        <w:pStyle w:val="Heading1"/>
      </w:pPr>
      <w:r/>
      <w:r>
        <w:t>PARTE 2 — LA APLICACIÓN: CÓMO SE CONSTRUYÓ</w:t>
      </w:r>
    </w:p>
    <w:p>
      <w:pPr>
        <w:pStyle w:val="Heading2"/>
      </w:pPr>
      <w:r/>
      <w:r>
        <w:t>2.0 Qué es, en una frase</w:t>
      </w:r>
    </w:p>
    <w:p>
      <w:r>
        <w:t xml:space="preserve">Una aplicación web de tres capas — </w:t>
      </w:r>
      <w:r>
        <w:rPr>
          <w:b/>
        </w:rPr>
        <w:t>frontend React</w:t>
      </w:r>
      <w:r>
        <w:t xml:space="preserve"> (SPA) + </w:t>
      </w:r>
      <w:r>
        <w:rPr>
          <w:b/>
        </w:rPr>
        <w:t>backend FastAPI</w:t>
      </w:r>
      <w:r>
        <w:t xml:space="preserve"> (Python) — cuyo corazón es un </w:t>
      </w:r>
      <w:r>
        <w:rPr>
          <w:b/>
        </w:rPr>
        <w:t>motor de cálculo puro</w:t>
      </w:r>
      <w:r>
        <w:t xml:space="preserve"> (</w:t>
      </w:r>
      <w:r>
        <w:rPr>
          <w:rFonts w:ascii="Consolas" w:hAnsi="Consolas"/>
          <w:color w:val="B03060"/>
          <w:sz w:val="20"/>
        </w:rPr>
        <w:t>bes.core</w:t>
      </w:r>
      <w:r>
        <w:t xml:space="preserve">) que implementa la Parte 1 y se valida contra los ejemplos numerados del libro con una suite de </w:t>
      </w:r>
      <w:r>
        <w:rPr>
          <w:b/>
        </w:rPr>
        <w:t>725 tests</w:t>
      </w:r>
      <w:r>
        <w:t xml:space="preserve"> automatizados.</w:t>
      </w:r>
    </w:p>
    <w:p>
      <w:pPr>
        <w:pStyle w:val="Heading2"/>
      </w:pPr>
      <w:r/>
      <w:r>
        <w:t>2.1 La decisión de arquitectura: dominio en el centro</w:t>
      </w:r>
    </w:p>
    <w:p>
      <w:r>
        <w:t>La regla que gobierna todo el diseño de software del proyecto:</w:t>
      </w:r>
    </w:p>
    <w:p>
      <w:pPr>
        <w:spacing w:before="80" w:after="160"/>
        <w:ind w:left="216"/>
        <w:shd w:val="clear" w:fill="F2F3F5"/>
      </w:pPr>
      <w:r>
        <w:rPr>
          <w:rFonts w:ascii="Consolas" w:hAnsi="Consolas"/>
          <w:color w:val="24292E"/>
          <w:sz w:val="19"/>
        </w:rPr>
        <w:t>frontend/ (React) ──HTTP/JSON──▶ bes.api (FastAPI) ──▶ bes.services ──▶ bes.core (dominio)</w:t>
        <w:br/>
        <w:t xml:space="preserve">                                                                        bes.catalogs</w:t>
        <w:br/>
        <w:t xml:space="preserve">                                                                        bes.recommender</w:t>
        <w:br/>
        <w:t xml:space="preserve">                                                                        bes.reports · bes.plotting</w:t>
      </w:r>
    </w:p>
    <w:p>
      <w:pPr>
        <w:pStyle w:val="ListBullet"/>
      </w:pPr>
      <w:r>
        <w:rPr>
          <w:b/>
        </w:rPr>
        <w:t>`bes.core` (dominio) nunca importa un framework.</w:t>
      </w:r>
      <w:r>
        <w:t xml:space="preserve"> Ni FastAPI, ni nada de UI. Son</w:t>
      </w:r>
    </w:p>
    <w:p>
      <w:r>
        <w:t>funciones puras sobre dataclasses. Consecuencia: el motor se puede usar desde la web, desde un script, desde un notebook o desde los tests, sin arrastrar nada.</w:t>
      </w:r>
    </w:p>
    <w:p>
      <w:pPr>
        <w:pStyle w:val="ListBullet"/>
      </w:pPr>
      <w:r>
        <w:rPr>
          <w:b/>
        </w:rPr>
        <w:t>`bes.services` orquesta</w:t>
      </w:r>
      <w:r>
        <w:t xml:space="preserve"> el dominio y devuelve números crudos (nunca strings</w:t>
      </w:r>
    </w:p>
    <w:p>
      <w:r>
        <w:t>formateados): es la fuente única de verdad detrás de la API.</w:t>
      </w:r>
    </w:p>
    <w:p>
      <w:pPr>
        <w:pStyle w:val="ListBullet"/>
      </w:pPr>
      <w:r>
        <w:rPr>
          <w:b/>
        </w:rPr>
        <w:t>`bes.api` y el frontend son adaptadores de entrega:</w:t>
      </w:r>
      <w:r>
        <w:t xml:space="preserve"> traducen HTTP ↔ dominio y</w:t>
      </w:r>
    </w:p>
    <w:p>
      <w:r>
        <w:t>renderizan. No calculan nada. Si mañana se cambia React por otra UI, el motor no se toca.</w:t>
      </w:r>
    </w:p>
    <w:p>
      <w:pPr>
        <w:pStyle w:val="ListBullet"/>
      </w:pPr>
      <w:r>
        <w:t xml:space="preserve">La regla se </w:t>
      </w:r>
      <w:r>
        <w:rPr>
          <w:b/>
        </w:rPr>
        <w:t>verifica con un test</w:t>
      </w:r>
      <w:r>
        <w:t xml:space="preserve"> (</w:t>
      </w:r>
      <w:r>
        <w:rPr>
          <w:rFonts w:ascii="Consolas" w:hAnsi="Consolas"/>
          <w:color w:val="B03060"/>
          <w:sz w:val="20"/>
        </w:rPr>
        <w:t>tests/test_architecture.py</w:t>
      </w:r>
      <w:r>
        <w:t>): si alguien importa</w:t>
      </w:r>
    </w:p>
    <w:p>
      <w:r>
        <w:t>un framework dentro del dominio, la suite falla. La arquitectura no es una intención, es un invariante testeado.</w:t>
      </w:r>
    </w:p>
    <w:p>
      <w:pPr>
        <w:pStyle w:val="Heading3"/>
      </w:pPr>
      <w:r/>
      <w:r>
        <w:t>Layout del repositorio</w:t>
      </w:r>
    </w:p>
    <w:p>
      <w:pPr>
        <w:spacing w:before="80" w:after="160"/>
        <w:ind w:left="216"/>
        <w:shd w:val="clear" w:fill="F2F3F5"/>
      </w:pPr>
      <w:r>
        <w:rPr>
          <w:rFonts w:ascii="Consolas" w:hAnsi="Consolas"/>
          <w:color w:val="24292E"/>
          <w:sz w:val="19"/>
        </w:rPr>
        <w:t>backend/                todo el Python — unidad de despliegue autocontenida</w:t>
        <w:br/>
        <w:t xml:space="preserve">  src/bes/              único paquete instalable (pip install -e backend/)</w:t>
        <w:br/>
        <w:t xml:space="preserve">    core/               dominio puro: ipr, pvt, multiphase, tdh, pump_design,</w:t>
        <w:br/>
        <w:t xml:space="preserve">                        electrical, gas_handling, nodal_analysis, metric_design, models</w:t>
        <w:br/>
        <w:t xml:space="preserve">    catalogs/           JSON de equipos + CatalogManager (queries)</w:t>
        <w:br/>
        <w:t xml:space="preserve">    recommender/        pump_selector, ranking, recommendation_engine</w:t>
        <w:br/>
        <w:t xml:space="preserve">    services/           nodal_service, sensitivity_service, case_bundle</w:t>
        <w:br/>
        <w:t xml:space="preserve">    plotting/           builders Plotly (devuelven figuras, no HTML)</w:t>
        <w:br/>
        <w:t xml:space="preserve">    reports/            PDF (ReportLab) y Excel (openpyxl)</w:t>
        <w:br/>
        <w:t xml:space="preserve">    api/                FastAPI: routers, schemas Pydantic, mappers</w:t>
        <w:br/>
        <w:t xml:space="preserve">  tests/ · data/ · scripts/</w:t>
        <w:br/>
        <w:t>frontend/               SPA React (Vite + TypeScript + Mantine)</w:t>
        <w:br/>
        <w:t>docs/ · docker-compose.yml</w:t>
      </w:r>
    </w:p>
    <w:p>
      <w:pPr>
        <w:pStyle w:val="Heading2"/>
      </w:pPr>
      <w:r/>
      <w:r>
        <w:t>2.2 Cronología real del desarrollo (del historial de git)</w:t>
      </w:r>
    </w:p>
    <w:p>
      <w:r>
        <w:rPr>
          <w:b/>
        </w:rPr>
        <w:t>Etapa A — El motor de cálculo, con tests desde el día uno.</w:t>
      </w:r>
    </w:p>
    <w:p>
      <w:pPr>
        <w:pStyle w:val="ListNumber"/>
      </w:pPr>
      <w:r>
        <w:rPr>
          <w:b/>
        </w:rPr>
        <w:t>Fases 1–4:</w:t>
      </w:r>
      <w:r>
        <w:t xml:space="preserve"> modelos de datos (</w:t>
      </w:r>
      <w:r>
        <w:rPr>
          <w:rFonts w:ascii="Consolas" w:hAnsi="Consolas"/>
          <w:color w:val="B03060"/>
          <w:sz w:val="20"/>
        </w:rPr>
        <w:t>models.py</w:t>
      </w:r>
      <w:r>
        <w:t>: dataclasses con validación física en</w:t>
      </w:r>
    </w:p>
    <w:p>
      <w:r>
        <w:rPr>
          <w:rFonts w:ascii="Consolas" w:hAnsi="Consolas"/>
          <w:color w:val="B03060"/>
          <w:sz w:val="20"/>
        </w:rPr>
        <w:t>__post_init__</w:t>
      </w:r>
      <w:r>
        <w:t>), IPR, PVT y flujo multifásico. Primer commit: 179 tests ya en verde.</w:t>
      </w:r>
    </w:p>
    <w:p>
      <w:pPr>
        <w:pStyle w:val="ListNumber"/>
      </w:pPr>
      <w:r>
        <w:rPr>
          <w:b/>
        </w:rPr>
        <w:t>Fase 5:</w:t>
      </w:r>
      <w:r>
        <w:t xml:space="preserve"> catálogos JSON de bombas, motores, cables y sellos, con los datos de los</w:t>
      </w:r>
    </w:p>
    <w:p>
      <w:r>
        <w:t>ejemplos del libro y la Tabla 4.52.</w:t>
      </w:r>
    </w:p>
    <w:p>
      <w:pPr>
        <w:pStyle w:val="ListNumber"/>
      </w:pPr>
      <w:r>
        <w:rPr>
          <w:b/>
        </w:rPr>
        <w:t>Fase 6:</w:t>
      </w:r>
      <w:r>
        <w:t xml:space="preserve"> TDH y diseño de bomba, validados contra los Ejemplos #1A/#2A/#2B (271 tests).</w:t>
      </w:r>
    </w:p>
    <w:p>
      <w:pPr>
        <w:pStyle w:val="ListNumber"/>
      </w:pPr>
      <w:r>
        <w:rPr>
          <w:b/>
        </w:rPr>
        <w:t>Fase 8:</w:t>
      </w:r>
      <w:r>
        <w:t xml:space="preserve"> manejo de gas: GIP, riesgo de gas lock y el método de incrementos de</w:t>
      </w:r>
    </w:p>
    <w:p>
      <w:r>
        <w:t>200 psi validado con los Ejemplos #3A/#3B.</w:t>
      </w:r>
    </w:p>
    <w:p>
      <w:pPr>
        <w:pStyle w:val="ListNumber"/>
      </w:pPr>
      <w:r>
        <w:rPr>
          <w:b/>
        </w:rPr>
        <w:t>Fases 10–12:</w:t>
      </w:r>
      <w:r>
        <w:t xml:space="preserve"> primera interfaz (Streamlit, luego retirada) y análisis nodal con las</w:t>
      </w:r>
    </w:p>
    <w:p>
      <w:r>
        <w:t>cuatro correlaciones multifásicas (497 tests).</w:t>
      </w:r>
    </w:p>
    <w:p>
      <w:r>
        <w:rPr>
          <w:b/>
        </w:rPr>
        <w:t>Etapa B — Ampliación de catálogos y recomendador.</w:t>
      </w:r>
      <w:r>
        <w:t xml:space="preserve"> Se pasó de 10 a 17 bombas, se digitalizaron equipos modernos (motores ChampionX AFFIRMED, cables CAVALCADE, protectores VIGIL, separadores WHIRLAWAY, sensores ACE), cada entrada con su campo </w:t>
      </w:r>
      <w:r>
        <w:rPr>
          <w:rFonts w:ascii="Consolas" w:hAnsi="Consolas"/>
          <w:color w:val="B03060"/>
          <w:sz w:val="20"/>
        </w:rPr>
        <w:t>_source</w:t>
      </w:r>
      <w:r>
        <w:t xml:space="preserve"> que declara el origen del dato (libro / hoja de fabricante / estimado) — trazabilidad exigible en una tesis.</w:t>
      </w:r>
    </w:p>
    <w:p>
      <w:r>
        <w:rPr>
          <w:b/>
        </w:rPr>
        <w:t>Etapa C — Migración a tres capas</w:t>
      </w:r>
      <w:r>
        <w:t xml:space="preserve"> (el monolito Streamlit calculaba y renderizaba en el mismo proceso; no separaba responsabilidades ni permitía otra UI):</w:t>
      </w:r>
    </w:p>
    <w:p>
      <w:pPr>
        <w:pStyle w:val="ListNumber"/>
      </w:pPr>
      <w:r>
        <w:rPr>
          <w:b/>
        </w:rPr>
        <w:t>Semana 1:</w:t>
      </w:r>
      <w:r>
        <w:t xml:space="preserve"> packaging con layout </w:t>
      </w:r>
      <w:r>
        <w:rPr>
          <w:rFonts w:ascii="Consolas" w:hAnsi="Consolas"/>
          <w:color w:val="B03060"/>
          <w:sz w:val="20"/>
        </w:rPr>
        <w:t>src/</w:t>
      </w:r>
      <w:r>
        <w:t xml:space="preserve">, paquete único </w:t>
      </w:r>
      <w:r>
        <w:rPr>
          <w:rFonts w:ascii="Consolas" w:hAnsi="Consolas"/>
          <w:color w:val="B03060"/>
          <w:sz w:val="20"/>
        </w:rPr>
        <w:t>bes</w:t>
      </w:r>
      <w:r>
        <w:t xml:space="preserve"> instalable, capa</w:t>
      </w:r>
    </w:p>
    <w:p>
      <w:r>
        <w:rPr>
          <w:rFonts w:ascii="Consolas" w:hAnsi="Consolas"/>
          <w:color w:val="B03060"/>
          <w:sz w:val="20"/>
        </w:rPr>
        <w:t>bes.services</w:t>
      </w:r>
      <w:r>
        <w:t>.</w:t>
      </w:r>
    </w:p>
    <w:p>
      <w:pPr>
        <w:pStyle w:val="ListNumber"/>
      </w:pPr>
      <w:r>
        <w:rPr>
          <w:b/>
        </w:rPr>
        <w:t>Semana 2:</w:t>
      </w:r>
      <w:r>
        <w:t xml:space="preserve"> backend FastAPI — endpoints de diseño, catálogos, nodal, sensibilidad y</w:t>
      </w:r>
    </w:p>
    <w:p>
      <w:r>
        <w:t>reportes. Streamlit pasó a consumir la API (transición sin big-bang).</w:t>
      </w:r>
    </w:p>
    <w:p>
      <w:pPr>
        <w:pStyle w:val="ListNumber"/>
      </w:pPr>
      <w:r>
        <w:rPr>
          <w:b/>
        </w:rPr>
        <w:t>Semana 3:</w:t>
      </w:r>
      <w:r>
        <w:t xml:space="preserve"> frontend React (Vite + TS + Mantine): formulario de 5 pestañas →</w:t>
      </w:r>
    </w:p>
    <w:p>
      <w:r>
        <w:rPr>
          <w:rFonts w:ascii="Consolas" w:hAnsi="Consolas"/>
          <w:color w:val="B03060"/>
          <w:sz w:val="20"/>
        </w:rPr>
        <w:t>/api/design</w:t>
      </w:r>
      <w:r>
        <w:t xml:space="preserve"> → resultados → gráficos → descargas.</w:t>
      </w:r>
    </w:p>
    <w:p>
      <w:pPr>
        <w:pStyle w:val="ListNumber"/>
      </w:pPr>
      <w:r>
        <w:rPr>
          <w:b/>
        </w:rPr>
        <w:t>Cierre:</w:t>
      </w:r>
      <w:r>
        <w:t xml:space="preserve"> al alcanzar paridad, se retiró Streamlit; React quedó como UI única. Se</w:t>
      </w:r>
    </w:p>
    <w:p>
      <w:r>
        <w:t xml:space="preserve">dockerizó todo y se separó el repo en </w:t>
      </w:r>
      <w:r>
        <w:rPr>
          <w:rFonts w:ascii="Consolas" w:hAnsi="Consolas"/>
          <w:color w:val="B03060"/>
          <w:sz w:val="20"/>
        </w:rPr>
        <w:t>backend/</w:t>
      </w:r>
      <w:r>
        <w:t xml:space="preserve"> y </w:t>
      </w:r>
      <w:r>
        <w:rPr>
          <w:rFonts w:ascii="Consolas" w:hAnsi="Consolas"/>
          <w:color w:val="B03060"/>
          <w:sz w:val="20"/>
        </w:rPr>
        <w:t>frontend/</w:t>
      </w:r>
      <w:r>
        <w:t>.</w:t>
      </w:r>
    </w:p>
    <w:p>
      <w:r>
        <w:rPr>
          <w:b/>
        </w:rPr>
        <w:t>Etapa D — Refinamientos de tesis:</w:t>
      </w:r>
      <w:r>
        <w:t xml:space="preserve"> camino métrico ESP 01 (método de cátedra), IPR de Fetkovich con IPR futura (Beggs), reemplazo del scoring ponderado por ordenamiento lexicográfico, informe PDF completo y rediseño visual del frontend.</w:t>
      </w:r>
    </w:p>
    <w:p>
      <w:pPr>
        <w:pStyle w:val="Heading2"/>
      </w:pPr>
      <w:r/>
      <w:r>
        <w:t>2.3 El dominio (</w:t>
      </w:r>
      <w:r>
        <w:rPr>
          <w:rFonts w:ascii="Consolas" w:hAnsi="Consolas"/>
          <w:color w:val="B03060"/>
          <w:sz w:val="20"/>
        </w:rPr>
        <w:t>bes.core</w:t>
      </w:r>
      <w:r>
        <w:t>), en detalle</w:t>
      </w:r>
    </w:p>
    <w:p>
      <w:pPr>
        <w:pStyle w:val="ListBullet"/>
      </w:pPr>
      <w:r>
        <w:rPr>
          <w:b/>
        </w:rPr>
        <w:t>`models.py` es el vocabulario compartido.</w:t>
      </w:r>
      <w:r>
        <w:t xml:space="preserve"> Entradas: </w:t>
      </w:r>
      <w:r>
        <w:rPr>
          <w:rFonts w:ascii="Consolas" w:hAnsi="Consolas"/>
          <w:color w:val="B03060"/>
          <w:sz w:val="20"/>
        </w:rPr>
        <w:t>Reservoir</w:t>
      </w:r>
      <w:r>
        <w:t xml:space="preserve">, </w:t>
      </w:r>
      <w:r>
        <w:rPr>
          <w:rFonts w:ascii="Consolas" w:hAnsi="Consolas"/>
          <w:color w:val="B03060"/>
          <w:sz w:val="20"/>
        </w:rPr>
        <w:t>Fluid</w:t>
      </w:r>
      <w:r>
        <w:t>,</w:t>
      </w:r>
    </w:p>
    <w:p>
      <w:r>
        <w:rPr>
          <w:rFonts w:ascii="Consolas" w:hAnsi="Consolas"/>
          <w:color w:val="B03060"/>
          <w:sz w:val="20"/>
        </w:rPr>
        <w:t>WellGeometry</w:t>
      </w:r>
      <w:r>
        <w:t xml:space="preserve">, </w:t>
      </w:r>
      <w:r>
        <w:rPr>
          <w:rFonts w:ascii="Consolas" w:hAnsi="Consolas"/>
          <w:color w:val="B03060"/>
          <w:sz w:val="20"/>
        </w:rPr>
        <w:t>SurfaceConditions</w:t>
      </w:r>
      <w:r>
        <w:t xml:space="preserve">, </w:t>
      </w:r>
      <w:r>
        <w:rPr>
          <w:rFonts w:ascii="Consolas" w:hAnsi="Consolas"/>
          <w:color w:val="B03060"/>
          <w:sz w:val="20"/>
        </w:rPr>
        <w:t>DesignObjectives</w:t>
      </w:r>
      <w:r>
        <w:t xml:space="preserve">. Salida: </w:t>
      </w:r>
      <w:r>
        <w:rPr>
          <w:rFonts w:ascii="Consolas" w:hAnsi="Consolas"/>
          <w:color w:val="B03060"/>
          <w:sz w:val="20"/>
        </w:rPr>
        <w:t>DesignResult</w:t>
      </w:r>
      <w:r>
        <w:t xml:space="preserve">. Son dataclasses con </w:t>
      </w:r>
      <w:r>
        <w:rPr>
          <w:rFonts w:ascii="Consolas" w:hAnsi="Consolas"/>
          <w:color w:val="B03060"/>
          <w:sz w:val="20"/>
        </w:rPr>
        <w:t>__post_init__</w:t>
      </w:r>
      <w:r>
        <w:t xml:space="preserve"> que valida física al construir (presiones positivas, water cut ∈ [0,1], geometría consistente): un dato imposible explota en la puerta, no en el medio de un cálculo. Caso especial: Pb &gt; Pr emite un *warning* en lugar de error, porque es legítimo en reservorios depletados.</w:t>
      </w:r>
    </w:p>
    <w:p>
      <w:pPr>
        <w:pStyle w:val="ListBullet"/>
      </w:pPr>
      <w:r>
        <w:rPr>
          <w:b/>
        </w:rPr>
        <w:t>Un módulo por paso de la Parte 1:</w:t>
      </w:r>
      <w:r>
        <w:t xml:space="preserve"> </w:t>
      </w:r>
      <w:r>
        <w:rPr>
          <w:rFonts w:ascii="Consolas" w:hAnsi="Consolas"/>
          <w:color w:val="B03060"/>
          <w:sz w:val="20"/>
        </w:rPr>
        <w:t>ipr.py</w:t>
      </w:r>
      <w:r>
        <w:t xml:space="preserve">, </w:t>
      </w:r>
      <w:r>
        <w:rPr>
          <w:rFonts w:ascii="Consolas" w:hAnsi="Consolas"/>
          <w:color w:val="B03060"/>
          <w:sz w:val="20"/>
        </w:rPr>
        <w:t>pvt.py</w:t>
      </w:r>
      <w:r>
        <w:t xml:space="preserve">, </w:t>
      </w:r>
      <w:r>
        <w:rPr>
          <w:rFonts w:ascii="Consolas" w:hAnsi="Consolas"/>
          <w:color w:val="B03060"/>
          <w:sz w:val="20"/>
        </w:rPr>
        <w:t>multiphase.py</w:t>
      </w:r>
      <w:r>
        <w:t xml:space="preserve">, </w:t>
      </w:r>
      <w:r>
        <w:rPr>
          <w:rFonts w:ascii="Consolas" w:hAnsi="Consolas"/>
          <w:color w:val="B03060"/>
          <w:sz w:val="20"/>
        </w:rPr>
        <w:t>tdh.py</w:t>
      </w:r>
      <w:r>
        <w:t>,</w:t>
      </w:r>
    </w:p>
    <w:p>
      <w:r>
        <w:rPr>
          <w:rFonts w:ascii="Consolas" w:hAnsi="Consolas"/>
          <w:color w:val="B03060"/>
          <w:sz w:val="20"/>
        </w:rPr>
        <w:t>pump_design.py</w:t>
      </w:r>
      <w:r>
        <w:t xml:space="preserve">, </w:t>
      </w:r>
      <w:r>
        <w:rPr>
          <w:rFonts w:ascii="Consolas" w:hAnsi="Consolas"/>
          <w:color w:val="B03060"/>
          <w:sz w:val="20"/>
        </w:rPr>
        <w:t>electrical.py</w:t>
      </w:r>
      <w:r>
        <w:t xml:space="preserve">, </w:t>
      </w:r>
      <w:r>
        <w:rPr>
          <w:rFonts w:ascii="Consolas" w:hAnsi="Consolas"/>
          <w:color w:val="B03060"/>
          <w:sz w:val="20"/>
        </w:rPr>
        <w:t>gas_handling.py</w:t>
      </w:r>
      <w:r>
        <w:t xml:space="preserve">, </w:t>
      </w:r>
      <w:r>
        <w:rPr>
          <w:rFonts w:ascii="Consolas" w:hAnsi="Consolas"/>
          <w:color w:val="B03060"/>
          <w:sz w:val="20"/>
        </w:rPr>
        <w:t>nodal_analysis.py</w:t>
      </w:r>
      <w:r>
        <w:t xml:space="preserve">. La correspondencia física ↔ archivo es 1 a 1: quien lee la Parte 1 sabe dónde vive cada fórmula (y </w:t>
      </w:r>
      <w:r>
        <w:rPr>
          <w:rFonts w:ascii="Consolas" w:hAnsi="Consolas"/>
          <w:color w:val="B03060"/>
          <w:sz w:val="20"/>
        </w:rPr>
        <w:t>FORMULAS.md</w:t>
      </w:r>
      <w:r>
        <w:t xml:space="preserve"> da el archivo:línea exacto de cada una).</w:t>
      </w:r>
    </w:p>
    <w:p>
      <w:pPr>
        <w:pStyle w:val="ListBullet"/>
      </w:pPr>
      <w:r>
        <w:rPr>
          <w:b/>
        </w:rPr>
        <w:t>`metric_design.py`:</w:t>
      </w:r>
      <w:r>
        <w:t xml:space="preserve"> motor paralelo del ejercicio de cátedra ESP 01 en unidades</w:t>
      </w:r>
    </w:p>
    <w:p>
      <w:r>
        <w:t xml:space="preserve">métricas, con sus propias fórmulas simplificadas (17 pasos, cada uno una función pura). No reutiliza el TDH de Brown: son metodologías distintas que conviven. Su catálogo se </w:t>
      </w:r>
      <w:r>
        <w:rPr>
          <w:b/>
        </w:rPr>
        <w:t>inyecta</w:t>
      </w:r>
      <w:r>
        <w:t xml:space="preserve"> desde afuera porque </w:t>
      </w:r>
      <w:r>
        <w:rPr>
          <w:rFonts w:ascii="Consolas" w:hAnsi="Consolas"/>
          <w:color w:val="B03060"/>
          <w:sz w:val="20"/>
        </w:rPr>
        <w:t>core</w:t>
      </w:r>
      <w:r>
        <w:t xml:space="preserve"> no puede importar </w:t>
      </w:r>
      <w:r>
        <w:rPr>
          <w:rFonts w:ascii="Consolas" w:hAnsi="Consolas"/>
          <w:color w:val="B03060"/>
          <w:sz w:val="20"/>
        </w:rPr>
        <w:t>catalogs</w:t>
      </w:r>
      <w:r>
        <w:t xml:space="preserve"> (capa inferior).</w:t>
      </w:r>
    </w:p>
    <w:p>
      <w:pPr>
        <w:pStyle w:val="Heading2"/>
      </w:pPr>
      <w:r/>
      <w:r>
        <w:t>2.4 Catálogos (</w:t>
      </w:r>
      <w:r>
        <w:rPr>
          <w:rFonts w:ascii="Consolas" w:hAnsi="Consolas"/>
          <w:color w:val="B03060"/>
          <w:sz w:val="20"/>
        </w:rPr>
        <w:t>bes.catalogs</w:t>
      </w:r>
      <w:r>
        <w:t>)</w:t>
      </w:r>
    </w:p>
    <w:p>
      <w:r>
        <w:t xml:space="preserve">Los equipos viven en archivos JSON cargados una vez por </w:t>
      </w:r>
      <w:r>
        <w:rPr>
          <w:rFonts w:ascii="Consolas" w:hAnsi="Consolas"/>
          <w:color w:val="B03060"/>
          <w:sz w:val="20"/>
        </w:rPr>
        <w:t>CatalogManager</w:t>
      </w:r>
      <w:r>
        <w:t>, que ofrece las consultas del motor: bombas que caben en el casing, bombas que cubren el caudal, interpolación lineal de curvas, motor mínimo suficiente, cable de menor caída.</w:t>
      </w:r>
    </w:p>
    <w:p>
      <w:r>
        <w:t xml:space="preserve">Dos clases de dato, siempre distinguidas en </w:t>
      </w:r>
      <w:r>
        <w:rPr>
          <w:rFonts w:ascii="Consolas" w:hAnsi="Consolas"/>
          <w:color w:val="B03060"/>
          <w:sz w:val="20"/>
        </w:rPr>
        <w:t>_source</w:t>
      </w:r>
      <w:r>
        <w:t xml:space="preserve">: </w:t>
      </w:r>
      <w:r>
        <w:rPr>
          <w:b/>
        </w:rPr>
        <w:t>digitalizados del libro</w:t>
      </w:r>
      <w:r>
        <w:t xml:space="preserve"> (las bombas de los ejemplos, los cables de la Tabla 4.52 — contra ellos se valida) y </w:t>
      </w:r>
      <w:r>
        <w:rPr>
          <w:b/>
        </w:rPr>
        <w:t>representativos</w:t>
      </w:r>
      <w:r>
        <w:t xml:space="preserve"> (equipos sintetizados para ampliar cobertura con la forma característica de una bomba centrífuga, manteniendo consistencia termodinámica </w:t>
      </w:r>
      <w:r>
        <w:rPr>
          <w:rFonts w:ascii="Consolas" w:hAnsi="Consolas"/>
          <w:color w:val="B03060"/>
          <w:sz w:val="20"/>
        </w:rPr>
        <w:t>HP = q·H·SG/(135 770·η)</w:t>
      </w:r>
      <w:r>
        <w:t>; no sirven para diseño de campo y lo declaran).</w:t>
      </w:r>
    </w:p>
    <w:p>
      <w:pPr>
        <w:pStyle w:val="Heading2"/>
      </w:pPr>
      <w:r/>
      <w:r>
        <w:t>2.5 Recomendador (</w:t>
      </w:r>
      <w:r>
        <w:rPr>
          <w:rFonts w:ascii="Consolas" w:hAnsi="Consolas"/>
          <w:color w:val="B03060"/>
          <w:sz w:val="20"/>
        </w:rPr>
        <w:t>bes.recommender</w:t>
      </w:r>
      <w:r>
        <w:t>)</w:t>
      </w:r>
    </w:p>
    <w:p>
      <w:r>
        <w:rPr>
          <w:rFonts w:ascii="Consolas" w:hAnsi="Consolas"/>
          <w:color w:val="B03060"/>
          <w:sz w:val="20"/>
        </w:rPr>
        <w:t>generate_recommendations()</w:t>
      </w:r>
      <w:r>
        <w:t xml:space="preserve"> es la única función pública que la API invoca. Por dentro, </w:t>
      </w:r>
      <w:r>
        <w:rPr>
          <w:rFonts w:ascii="Consolas" w:hAnsi="Consolas"/>
          <w:color w:val="B03060"/>
          <w:sz w:val="20"/>
        </w:rPr>
        <w:t>pump_selector.py</w:t>
      </w:r>
      <w:r>
        <w:t xml:space="preserve"> corre la cadena completa (pasos 3–7 de la Parte 1) </w:t>
      </w:r>
      <w:r>
        <w:rPr>
          <w:b/>
        </w:rPr>
        <w:t>para cada bomba candidata</w:t>
      </w:r>
      <w:r>
        <w:t>, fija la profundidad de instalación física (</w:t>
      </w:r>
      <w:r>
        <w:rPr>
          <w:rFonts w:ascii="Consolas" w:hAnsi="Consolas"/>
          <w:color w:val="B03060"/>
          <w:sz w:val="20"/>
        </w:rPr>
        <w:t>tope de punzados − margen</w:t>
      </w:r>
      <w:r>
        <w:t xml:space="preserve">), y </w:t>
      </w:r>
      <w:r>
        <w:rPr>
          <w:rFonts w:ascii="Consolas" w:hAnsi="Consolas"/>
          <w:color w:val="B03060"/>
          <w:sz w:val="20"/>
        </w:rPr>
        <w:t>ranking.py</w:t>
      </w:r>
      <w:r>
        <w:t xml:space="preserve"> ordena por la clave lexicográfica </w:t>
      </w:r>
      <w:r>
        <w:rPr>
          <w:rFonts w:ascii="Consolas" w:hAnsi="Consolas"/>
          <w:color w:val="B03060"/>
          <w:sz w:val="20"/>
        </w:rPr>
        <w:t>(d_BEP, −η, HP)</w:t>
      </w:r>
      <w:r>
        <w:t xml:space="preserve">. Cada recomendación sale con su dict </w:t>
      </w:r>
      <w:r>
        <w:rPr>
          <w:rFonts w:ascii="Consolas" w:hAnsi="Consolas"/>
          <w:color w:val="B03060"/>
          <w:sz w:val="20"/>
        </w:rPr>
        <w:t>criteria</w:t>
      </w:r>
      <w:r>
        <w:t xml:space="preserve"> (valores crudos) y un </w:t>
      </w:r>
      <w:r>
        <w:rPr>
          <w:rFonts w:ascii="Consolas" w:hAnsi="Consolas"/>
          <w:color w:val="B03060"/>
          <w:sz w:val="20"/>
        </w:rPr>
        <w:t>rationale</w:t>
      </w:r>
      <w:r>
        <w:t xml:space="preserve"> en texto generado solo desde datos calculados.</w:t>
      </w:r>
    </w:p>
    <w:p>
      <w:pPr>
        <w:pStyle w:val="Heading2"/>
      </w:pPr>
      <w:r/>
      <w:r>
        <w:t>2.6 La API (</w:t>
      </w:r>
      <w:r>
        <w:rPr>
          <w:rFonts w:ascii="Consolas" w:hAnsi="Consolas"/>
          <w:color w:val="B03060"/>
          <w:sz w:val="20"/>
        </w:rPr>
        <w:t>bes.api</w:t>
      </w:r>
      <w:r>
        <w:t>) y su contrato</w:t>
      </w:r>
    </w:p>
    <w:p>
      <w:pPr>
        <w:pStyle w:val="ListBullet"/>
      </w:pPr>
      <w:r>
        <w:rPr>
          <w:b/>
        </w:rPr>
        <w:t>Esquemas Pydantic separados de las dataclasses</w:t>
      </w:r>
      <w:r>
        <w:t xml:space="preserve"> + mappers. Se decidió *no* convertir</w:t>
      </w:r>
    </w:p>
    <w:p>
      <w:r>
        <w:t>el dominio a Pydantic: las dataclasses ya validaban con mensajes específicos que cientos de tests verifican. Los nombres de campo coinciden, así que el mapeo es trivial (</w:t>
      </w:r>
      <w:r>
        <w:rPr>
          <w:rFonts w:ascii="Consolas" w:hAnsi="Consolas"/>
          <w:color w:val="B03060"/>
          <w:sz w:val="20"/>
        </w:rPr>
        <w:t>DesignResultSchema(**asdict(dr))</w:t>
      </w:r>
      <w:r>
        <w:t xml:space="preserve"> / </w:t>
      </w:r>
      <w:r>
        <w:rPr>
          <w:rFonts w:ascii="Consolas" w:hAnsi="Consolas"/>
          <w:color w:val="B03060"/>
          <w:sz w:val="20"/>
        </w:rPr>
        <w:t>Reservoir(**schema.model_dump())</w:t>
      </w:r>
      <w:r>
        <w:t>).</w:t>
      </w:r>
    </w:p>
    <w:p>
      <w:pPr>
        <w:pStyle w:val="ListBullet"/>
      </w:pPr>
      <w:r>
        <w:rPr>
          <w:b/>
        </w:rPr>
        <w:t>Enums como strings:</w:t>
      </w:r>
      <w:r>
        <w:t xml:space="preserve"> el dominio usa </w:t>
      </w:r>
      <w:r>
        <w:rPr>
          <w:rFonts w:ascii="Consolas" w:hAnsi="Consolas"/>
          <w:color w:val="B03060"/>
          <w:sz w:val="20"/>
        </w:rPr>
        <w:t>auto()</w:t>
      </w:r>
      <w:r>
        <w:t xml:space="preserve"> (enteros); la API habla </w:t>
      </w:r>
      <w:r>
        <w:rPr>
          <w:rFonts w:ascii="Consolas" w:hAnsi="Consolas"/>
          <w:color w:val="B03060"/>
          <w:sz w:val="20"/>
        </w:rPr>
        <w:t>"vogel"</w:t>
      </w:r>
      <w:r>
        <w:t>,</w:t>
      </w:r>
    </w:p>
    <w:p>
      <w:r>
        <w:rPr>
          <w:rFonts w:ascii="Consolas" w:hAnsi="Consolas"/>
          <w:color w:val="B03060"/>
          <w:sz w:val="20"/>
        </w:rPr>
        <w:t>"linear"</w:t>
      </w:r>
      <w:r>
        <w:t>, etc. El mapper traduce en ambas direcciones. Nunca se exponen los enteros.</w:t>
      </w:r>
    </w:p>
    <w:p>
      <w:pPr>
        <w:pStyle w:val="ListBullet"/>
      </w:pPr>
      <w:r>
        <w:rPr>
          <w:b/>
        </w:rPr>
        <w:t>Contrato de errores:</w:t>
      </w:r>
      <w:r>
        <w:t xml:space="preserve"> </w:t>
      </w:r>
      <w:r>
        <w:rPr>
          <w:rFonts w:ascii="Consolas" w:hAnsi="Consolas"/>
          <w:color w:val="B03060"/>
          <w:sz w:val="20"/>
        </w:rPr>
        <w:t>ValueError</w:t>
      </w:r>
      <w:r>
        <w:t xml:space="preserve"> del dominio (diseño inviable, dato inválido) →</w:t>
      </w:r>
    </w:p>
    <w:p>
      <w:r>
        <w:t xml:space="preserve">HTTP 422 con el mensaje; los </w:t>
      </w:r>
      <w:r>
        <w:rPr>
          <w:rFonts w:ascii="Consolas" w:hAnsi="Consolas"/>
          <w:color w:val="B03060"/>
          <w:sz w:val="20"/>
        </w:rPr>
        <w:t>UserWarning</w:t>
      </w:r>
      <w:r>
        <w:t xml:space="preserve"> se capturan y viajan en la respuesta.</w:t>
      </w:r>
    </w:p>
    <w:p>
      <w:pPr>
        <w:pStyle w:val="ListBullet"/>
      </w:pPr>
      <w:r>
        <w:rPr>
          <w:b/>
        </w:rPr>
        <w:t>Routers:</w:t>
      </w:r>
      <w:r>
        <w:t xml:space="preserve"> </w:t>
      </w:r>
      <w:r>
        <w:rPr>
          <w:rFonts w:ascii="Consolas" w:hAnsi="Consolas"/>
          <w:color w:val="B03060"/>
          <w:sz w:val="20"/>
        </w:rPr>
        <w:t>design</w:t>
      </w:r>
      <w:r>
        <w:t xml:space="preserve"> (diseño completo), </w:t>
      </w:r>
      <w:r>
        <w:rPr>
          <w:rFonts w:ascii="Consolas" w:hAnsi="Consolas"/>
          <w:color w:val="B03060"/>
          <w:sz w:val="20"/>
        </w:rPr>
        <w:t>catalogs</w:t>
      </w:r>
      <w:r>
        <w:t xml:space="preserve">, </w:t>
      </w:r>
      <w:r>
        <w:rPr>
          <w:rFonts w:ascii="Consolas" w:hAnsi="Consolas"/>
          <w:color w:val="B03060"/>
          <w:sz w:val="20"/>
        </w:rPr>
        <w:t>examples</w:t>
      </w:r>
      <w:r>
        <w:t xml:space="preserve"> (pozos del libro</w:t>
      </w:r>
    </w:p>
    <w:p>
      <w:r>
        <w:t xml:space="preserve">precargados), </w:t>
      </w:r>
      <w:r>
        <w:rPr>
          <w:rFonts w:ascii="Consolas" w:hAnsi="Consolas"/>
          <w:color w:val="B03060"/>
          <w:sz w:val="20"/>
        </w:rPr>
        <w:t>nodal</w:t>
      </w:r>
      <w:r>
        <w:t xml:space="preserve">, </w:t>
      </w:r>
      <w:r>
        <w:rPr>
          <w:rFonts w:ascii="Consolas" w:hAnsi="Consolas"/>
          <w:color w:val="B03060"/>
          <w:sz w:val="20"/>
        </w:rPr>
        <w:t>sensitivity</w:t>
      </w:r>
      <w:r>
        <w:t xml:space="preserve">, </w:t>
      </w:r>
      <w:r>
        <w:rPr>
          <w:rFonts w:ascii="Consolas" w:hAnsi="Consolas"/>
          <w:color w:val="B03060"/>
          <w:sz w:val="20"/>
        </w:rPr>
        <w:t>plots</w:t>
      </w:r>
      <w:r>
        <w:t xml:space="preserve">, </w:t>
      </w:r>
      <w:r>
        <w:rPr>
          <w:rFonts w:ascii="Consolas" w:hAnsi="Consolas"/>
          <w:color w:val="B03060"/>
          <w:sz w:val="20"/>
        </w:rPr>
        <w:t>reports</w:t>
      </w:r>
      <w:r>
        <w:t xml:space="preserve"> (PDF/Excel).</w:t>
      </w:r>
    </w:p>
    <w:p>
      <w:pPr>
        <w:pStyle w:val="ListBullet"/>
      </w:pPr>
      <w:r>
        <w:rPr>
          <w:b/>
        </w:rPr>
        <w:t>Los gráficos se construyen en el backend</w:t>
      </w:r>
      <w:r>
        <w:t xml:space="preserve"> (</w:t>
      </w:r>
      <w:r>
        <w:rPr>
          <w:rFonts w:ascii="Consolas" w:hAnsi="Consolas"/>
          <w:color w:val="B03060"/>
          <w:sz w:val="20"/>
        </w:rPr>
        <w:t>bes.plotting</w:t>
      </w:r>
      <w:r>
        <w:t>, Plotly) y viajan como</w:t>
      </w:r>
    </w:p>
    <w:p>
      <w:r>
        <w:t xml:space="preserve">figure-JSON; el frontend solo los pasa a </w:t>
      </w:r>
      <w:r>
        <w:rPr>
          <w:rFonts w:ascii="Consolas" w:hAnsi="Consolas"/>
          <w:color w:val="B03060"/>
          <w:sz w:val="20"/>
        </w:rPr>
        <w:t>&lt;Plot&gt;</w:t>
      </w:r>
      <w:r>
        <w:t>. Una sola implementación de cada gráfico, nunca duplicada en JS.</w:t>
      </w:r>
    </w:p>
    <w:p>
      <w:pPr>
        <w:pStyle w:val="Heading2"/>
      </w:pPr>
      <w:r/>
      <w:r>
        <w:t>2.7 El frontend (React + Vite + TypeScript + Mantine)</w:t>
      </w:r>
    </w:p>
    <w:p>
      <w:pPr>
        <w:pStyle w:val="ListBullet"/>
      </w:pPr>
      <w:r>
        <w:rPr>
          <w:b/>
        </w:rPr>
        <w:t>Sin lógica de negocio:</w:t>
      </w:r>
      <w:r>
        <w:t xml:space="preserve"> formatea y renderiza. Todo cálculo está del otro lado de HTTP.</w:t>
      </w:r>
    </w:p>
    <w:p>
      <w:pPr>
        <w:pStyle w:val="ListBullet"/>
      </w:pPr>
      <w:r>
        <w:rPr>
          <w:b/>
        </w:rPr>
        <w:t>Cliente tipado generado desde OpenAPI:</w:t>
      </w:r>
      <w:r>
        <w:t xml:space="preserve"> los tipos TS se generan del schema que expone</w:t>
      </w:r>
    </w:p>
    <w:p>
      <w:r>
        <w:t>FastAPI (</w:t>
      </w:r>
      <w:r>
        <w:rPr>
          <w:rFonts w:ascii="Consolas" w:hAnsi="Consolas"/>
          <w:color w:val="B03060"/>
          <w:sz w:val="20"/>
        </w:rPr>
        <w:t>npm run gen:api</w:t>
      </w:r>
      <w:r>
        <w:t>). Si el backend cambia un campo, el frontend no compila — el contrato se rompe en build, no en producción.</w:t>
      </w:r>
    </w:p>
    <w:p>
      <w:pPr>
        <w:pStyle w:val="ListBullet"/>
      </w:pPr>
      <w:r>
        <w:rPr>
          <w:b/>
        </w:rPr>
        <w:t>Componentes:</w:t>
      </w:r>
      <w:r>
        <w:t xml:space="preserve"> </w:t>
      </w:r>
      <w:r>
        <w:rPr>
          <w:rFonts w:ascii="Consolas" w:hAnsi="Consolas"/>
          <w:color w:val="B03060"/>
          <w:sz w:val="20"/>
        </w:rPr>
        <w:t>WellForm</w:t>
      </w:r>
      <w:r>
        <w:t xml:space="preserve"> (5 pestañas de carga con ejemplos precargables),</w:t>
      </w:r>
    </w:p>
    <w:p>
      <w:r>
        <w:rPr>
          <w:rFonts w:ascii="Consolas" w:hAnsi="Consolas"/>
          <w:color w:val="B03060"/>
          <w:sz w:val="20"/>
        </w:rPr>
        <w:t>ResultsView</w:t>
      </w:r>
      <w:r>
        <w:t xml:space="preserve"> (top-3 con equipo, etapas, TDH, eléctrico, gas, advertencias, descargas), </w:t>
      </w:r>
      <w:r>
        <w:rPr>
          <w:rFonts w:ascii="Consolas" w:hAnsi="Consolas"/>
          <w:color w:val="B03060"/>
          <w:sz w:val="20"/>
        </w:rPr>
        <w:t>ComparisonView</w:t>
      </w:r>
      <w:r>
        <w:t xml:space="preserve"> (criterios crudos lado a lado), </w:t>
      </w:r>
      <w:r>
        <w:rPr>
          <w:rFonts w:ascii="Consolas" w:hAnsi="Consolas"/>
          <w:color w:val="B03060"/>
          <w:sz w:val="20"/>
        </w:rPr>
        <w:t>SensitivityView</w:t>
      </w:r>
      <w:r>
        <w:t xml:space="preserve">, </w:t>
      </w:r>
      <w:r>
        <w:rPr>
          <w:rFonts w:ascii="Consolas" w:hAnsi="Consolas"/>
          <w:color w:val="B03060"/>
          <w:sz w:val="20"/>
        </w:rPr>
        <w:t>DesignCharts</w:t>
      </w:r>
      <w:r>
        <w:t xml:space="preserve"> + </w:t>
      </w:r>
      <w:r>
        <w:rPr>
          <w:rFonts w:ascii="Consolas" w:hAnsi="Consolas"/>
          <w:color w:val="B03060"/>
          <w:sz w:val="20"/>
        </w:rPr>
        <w:t>PlotFigure</w:t>
      </w:r>
      <w:r>
        <w:t xml:space="preserve"> (render de Plotly JSON), </w:t>
      </w:r>
      <w:r>
        <w:rPr>
          <w:rFonts w:ascii="Consolas" w:hAnsi="Consolas"/>
          <w:color w:val="B03060"/>
          <w:sz w:val="20"/>
        </w:rPr>
        <w:t>IprPanel</w:t>
      </w:r>
      <w:r>
        <w:t xml:space="preserve">, </w:t>
      </w:r>
      <w:r>
        <w:rPr>
          <w:rFonts w:ascii="Consolas" w:hAnsi="Consolas"/>
          <w:color w:val="B03060"/>
          <w:sz w:val="20"/>
        </w:rPr>
        <w:t>PumpLibrary</w:t>
      </w:r>
      <w:r>
        <w:t>.</w:t>
      </w:r>
    </w:p>
    <w:p>
      <w:pPr>
        <w:pStyle w:val="Heading2"/>
      </w:pPr>
      <w:r/>
      <w:r>
        <w:t>2.8 Testing y validación: la disciplina del proyecto</w:t>
      </w:r>
    </w:p>
    <w:p>
      <w:pPr>
        <w:pStyle w:val="ListBullet"/>
      </w:pPr>
      <w:r>
        <w:rPr>
          <w:b/>
        </w:rPr>
        <w:t>725 tests</w:t>
      </w:r>
      <w:r>
        <w:t xml:space="preserve"> (pytest), todos en verde, organizados por módulo espejo del dominio.</w:t>
      </w:r>
    </w:p>
    <w:p>
      <w:pPr>
        <w:pStyle w:val="ListBullet"/>
      </w:pPr>
      <w:r>
        <w:rPr>
          <w:b/>
        </w:rPr>
        <w:t>Regla de oro:</w:t>
      </w:r>
      <w:r>
        <w:t xml:space="preserve"> toda correlación nueva se valida contra un ejemplo numerado del libro</w:t>
      </w:r>
    </w:p>
    <w:p>
      <w:r>
        <w:t>y deja un test de regresión. Los números de Brown (§1.9) son intocables: si un cambio los altera, la suite lo detecta.</w:t>
      </w:r>
    </w:p>
    <w:p>
      <w:pPr>
        <w:pStyle w:val="ListBullet"/>
      </w:pPr>
      <w:r>
        <w:rPr>
          <w:b/>
        </w:rPr>
        <w:t>Tests de arquitectura:</w:t>
      </w:r>
      <w:r>
        <w:t xml:space="preserve"> verifican que el dominio no importe frameworks.</w:t>
      </w:r>
    </w:p>
    <w:p>
      <w:pPr>
        <w:pStyle w:val="ListBullet"/>
      </w:pPr>
      <w:r>
        <w:rPr>
          <w:b/>
        </w:rPr>
        <w:t>Validación de punta a punta:</w:t>
      </w:r>
      <w:r>
        <w:t xml:space="preserve"> </w:t>
      </w:r>
      <w:r>
        <w:rPr>
          <w:rFonts w:ascii="Consolas" w:hAnsi="Consolas"/>
          <w:color w:val="B03060"/>
          <w:sz w:val="20"/>
        </w:rPr>
        <w:t>scripts/validate_all_examples.py</w:t>
      </w:r>
      <w:r>
        <w:t xml:space="preserve"> corre los ejemplos</w:t>
      </w:r>
    </w:p>
    <w:p>
      <w:r>
        <w:t xml:space="preserve">del libro completos y regenera </w:t>
      </w:r>
      <w:r>
        <w:rPr>
          <w:rFonts w:ascii="Consolas" w:hAnsi="Consolas"/>
          <w:color w:val="B03060"/>
          <w:sz w:val="20"/>
        </w:rPr>
        <w:t>docs/VALIDATION.md</w:t>
      </w:r>
      <w:r>
        <w:t xml:space="preserve"> con la tabla app vs. libro. Las diferencias (p. ej. +1.8 % de TDH en el #2A) tienen causa conocida: la app integra el gradiente multifásico real donde el libro usa columna hidrostática simple, y redondea etapas a housings comerciales.</w:t>
      </w:r>
    </w:p>
    <w:p>
      <w:pPr>
        <w:pStyle w:val="ListBullet"/>
      </w:pPr>
      <w:r>
        <w:rPr>
          <w:rFonts w:ascii="Consolas" w:hAnsi="Consolas"/>
          <w:color w:val="B03060"/>
          <w:sz w:val="20"/>
        </w:rPr>
        <w:t>backend/data/example_wells.json</w:t>
      </w:r>
      <w:r>
        <w:t xml:space="preserve"> separa escenarios </w:t>
      </w:r>
      <w:r>
        <w:rPr>
          <w:rFonts w:ascii="Consolas" w:hAnsi="Consolas"/>
          <w:color w:val="B03060"/>
          <w:sz w:val="20"/>
        </w:rPr>
        <w:t>_internal</w:t>
      </w:r>
      <w:r>
        <w:t xml:space="preserve"> (del proyecto) de</w:t>
      </w:r>
    </w:p>
    <w:p>
      <w:r>
        <w:rPr>
          <w:rFonts w:ascii="Consolas" w:hAnsi="Consolas"/>
          <w:color w:val="B03060"/>
          <w:sz w:val="20"/>
        </w:rPr>
        <w:t>_brown</w:t>
      </w:r>
      <w:r>
        <w:t xml:space="preserve"> (valores impresos del libro), para que la validación cite siempre la fuente.</w:t>
      </w:r>
    </w:p>
    <w:p>
      <w:pPr>
        <w:pStyle w:val="Heading2"/>
      </w:pPr>
      <w:r/>
      <w:r>
        <w:t>2.9 Reportes y utilitarios</w:t>
      </w:r>
    </w:p>
    <w:p>
      <w:pPr>
        <w:pStyle w:val="ListBullet"/>
      </w:pPr>
      <w:r>
        <w:rPr>
          <w:b/>
        </w:rPr>
        <w:t>`bes.reports`:</w:t>
      </w:r>
      <w:r>
        <w:t xml:space="preserve"> informe PDF (ReportLab) y planilla Excel (openpyxl) por diseño, más</w:t>
      </w:r>
    </w:p>
    <w:p>
      <w:r>
        <w:t>el caso completo en JSON (formato guardar/abrir).</w:t>
      </w:r>
    </w:p>
    <w:p>
      <w:pPr>
        <w:pStyle w:val="ListBullet"/>
      </w:pPr>
      <w:r>
        <w:rPr>
          <w:b/>
        </w:rPr>
        <w:t>`tools/`</w:t>
      </w:r>
      <w:r>
        <w:t xml:space="preserve"> (fuera del paquete y de la imagen Docker): pipeline de digitalización de</w:t>
      </w:r>
    </w:p>
    <w:p>
      <w:r>
        <w:t>catálogos PDF y migración Excel → DB. Herramientas de desarrollo, no de la app.</w:t>
      </w:r>
    </w:p>
    <w:p>
      <w:pPr>
        <w:pStyle w:val="Heading2"/>
      </w:pPr>
      <w:r/>
      <w:r>
        <w:t>2.10 Cómo se corre</w:t>
      </w:r>
    </w:p>
    <w:p>
      <w:pPr>
        <w:spacing w:before="80" w:after="160"/>
        <w:ind w:left="216"/>
        <w:shd w:val="clear" w:fill="F2F3F5"/>
      </w:pPr>
      <w:r>
        <w:rPr>
          <w:rFonts w:ascii="Consolas" w:hAnsi="Consolas"/>
          <w:color w:val="24292E"/>
          <w:sz w:val="19"/>
        </w:rPr>
        <w:t># Backend (desde backend/, venv en .venv)</w:t>
        <w:br/>
        <w:t>python -m uvicorn bes.api.main:app --reload --port 8000</w:t>
        <w:br/>
        <w:br/>
        <w:t># Frontend (desde frontend/)</w:t>
        <w:br/>
        <w:t>npm run dev</w:t>
        <w:br/>
        <w:br/>
        <w:t># Todo junto</w:t>
        <w:br/>
        <w:t>docker compose up --build</w:t>
        <w:br/>
        <w:br/>
        <w:t># Tests y validación (desde backend/)</w:t>
        <w:br/>
        <w:t>pytest</w:t>
        <w:br/>
        <w:t>python scripts/validate_all_examples.py</w:t>
      </w:r>
    </w:p>
    <w:p>
      <w:pPr>
        <w:pStyle w:val="Heading2"/>
      </w:pPr>
      <w:r/>
      <w:r>
        <w:t>2.11 Ideas para defender la Parte 2</w:t>
      </w:r>
    </w:p>
    <w:p>
      <w:pPr>
        <w:pStyle w:val="ListNumber"/>
      </w:pPr>
      <w:r>
        <w:rPr>
          <w:b/>
        </w:rPr>
        <w:t>¿Por qué tres capas y no un solo programa?</w:t>
      </w:r>
      <w:r>
        <w:t xml:space="preserve"> Separación de responsabilidades: el</w:t>
      </w:r>
    </w:p>
    <w:p>
      <w:r>
        <w:t>motor es verificable y reutilizable sin UI; la UI es reemplazable sin tocar física (se demostró: Streamlit se retiró y el motor no cambió).</w:t>
      </w:r>
    </w:p>
    <w:p>
      <w:pPr>
        <w:pStyle w:val="ListNumber"/>
      </w:pPr>
      <w:r>
        <w:rPr>
          <w:b/>
        </w:rPr>
        <w:t>¿Por qué dataclasses y no Pydantic en el dominio?</w:t>
      </w:r>
      <w:r>
        <w:t xml:space="preserve"> El dominio no debe depender de</w:t>
      </w:r>
    </w:p>
    <w:p>
      <w:r>
        <w:t>frameworks; la validación física ya estaba testeada. Pydantic vive solo en el borde HTTP, que es donde aporta (serialización, OpenAPI).</w:t>
      </w:r>
    </w:p>
    <w:p>
      <w:pPr>
        <w:pStyle w:val="ListNumber"/>
      </w:pPr>
      <w:r>
        <w:rPr>
          <w:b/>
        </w:rPr>
        <w:t>¿Cómo sabés que calcula bien?</w:t>
      </w:r>
      <w:r>
        <w:t xml:space="preserve"> 725 tests + validación reproducible contra ejemplos</w:t>
      </w:r>
    </w:p>
    <w:p>
      <w:r>
        <w:t>publicados, con las diferencias explicadas y acotadas.</w:t>
      </w:r>
    </w:p>
    <w:p>
      <w:pPr>
        <w:pStyle w:val="ListNumber"/>
      </w:pPr>
      <w:r>
        <w:rPr>
          <w:b/>
        </w:rPr>
        <w:t>¿De dónde salen los datos de equipos?</w:t>
      </w:r>
      <w:r>
        <w:t xml:space="preserve"> Cada entrada de catálogo declara su fuente</w:t>
      </w:r>
    </w:p>
    <w:p>
      <w:r>
        <w:t>(</w:t>
      </w:r>
      <w:r>
        <w:rPr>
          <w:rFonts w:ascii="Consolas" w:hAnsi="Consolas"/>
          <w:color w:val="B03060"/>
          <w:sz w:val="20"/>
        </w:rPr>
        <w:t>_source</w:t>
      </w:r>
      <w:r>
        <w:t>); lo estimado está marcado y excluido del uso de campo.</w:t>
      </w:r>
    </w:p>
    <w:p>
      <w:pPr>
        <w:pStyle w:val="ListNumber"/>
      </w:pPr>
      <w:r>
        <w:rPr>
          <w:b/>
        </w:rPr>
        <w:t>¿Por qué el backend dibuja los gráficos?</w:t>
      </w:r>
      <w:r>
        <w:t xml:space="preserve"> Una sola fuente de verdad: la misma</w:t>
      </w:r>
    </w:p>
    <w:p>
      <w:r>
        <w:t>figura Plotly sirve a la web y a cualquier otro consumidor; el front no reimplementa lógica.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1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1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1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A1A1A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