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Universidad Nacional del Comahue</w:t>
      </w:r>
    </w:p>
    <w:p>
      <w:pPr>
        <w:jc w:val="center"/>
      </w:pPr>
      <w:r>
        <w:rPr>
          <w:rFonts w:ascii="Times New Roman" w:hAnsi="Times New Roman"/>
          <w:b/>
          <w:i w:val="0"/>
          <w:sz w:val="24"/>
        </w:rPr>
        <w:t>Facultad de Ingeniería</w:t>
      </w:r>
    </w:p>
    <w:p>
      <w:pPr>
        <w:jc w:val="center"/>
      </w:pPr>
      <w:r>
        <w:rPr>
          <w:rFonts w:ascii="Times New Roman" w:hAnsi="Times New Roman"/>
          <w:b w:val="0"/>
          <w:i w:val="0"/>
          <w:sz w:val="22"/>
        </w:rPr>
        <w:t>Departamento de Geología y Petróleo</w:t>
      </w:r>
    </w:p>
    <w:p/>
    <w:p>
      <w:pPr>
        <w:jc w:val="center"/>
      </w:pPr>
      <w:r>
        <w:rPr>
          <w:rFonts w:ascii="Times New Roman" w:hAnsi="Times New Roman"/>
          <w:b/>
          <w:i w:val="0"/>
          <w:sz w:val="24"/>
        </w:rPr>
        <w:t>Proyecto Integrador Profesional – Síntesis del Plan de Trabajo</w:t>
      </w:r>
    </w:p>
    <w:p>
      <w:pPr>
        <w:jc w:val="center"/>
      </w:pPr>
      <w:r>
        <w:rPr>
          <w:rFonts w:ascii="Times New Roman" w:hAnsi="Times New Roman"/>
          <w:b/>
          <w:i/>
          <w:sz w:val="24"/>
        </w:rPr>
        <w:t>Desarrollo de una herramienta computacional para la automatización del diseño de sistemas de bombeo electrosumergible (BES) en pozos productores de petróleo</w:t>
      </w:r>
    </w:p>
    <w:p/>
    <w:p>
      <w:pPr>
        <w:spacing w:after="120"/>
      </w:pPr>
      <w:r>
        <w:rPr>
          <w:rFonts w:ascii="Times New Roman" w:hAnsi="Times New Roman"/>
          <w:b/>
          <w:sz w:val="22"/>
        </w:rPr>
        <w:t xml:space="preserve">Alumno: </w:t>
      </w:r>
      <w:r>
        <w:rPr>
          <w:rFonts w:ascii="Times New Roman" w:hAnsi="Times New Roman"/>
          <w:sz w:val="22"/>
        </w:rPr>
        <w:t>Pablo Agustín Tejerina</w:t>
      </w:r>
      <w:r>
        <w:rPr>
          <w:rFonts w:ascii="Times New Roman" w:hAnsi="Times New Roman"/>
          <w:b/>
          <w:sz w:val="22"/>
        </w:rPr>
        <w:t xml:space="preserve">                      Legajo: </w:t>
      </w:r>
      <w:r>
        <w:rPr>
          <w:rFonts w:ascii="Times New Roman" w:hAnsi="Times New Roman"/>
          <w:sz w:val="22"/>
        </w:rPr>
        <w:t>ING-9659</w:t>
      </w:r>
    </w:p>
    <w:p>
      <w:pPr>
        <w:spacing w:line="360" w:lineRule="auto" w:after="120"/>
      </w:pPr>
      <w:r>
        <w:rPr>
          <w:rFonts w:ascii="Times New Roman" w:hAnsi="Times New Roman"/>
          <w:sz w:val="22"/>
        </w:rPr>
        <w:t>Firma: ________________________________</w:t>
      </w:r>
    </w:p>
    <w:p/>
    <w:p>
      <w:r>
        <w:rPr>
          <w:rFonts w:ascii="Times New Roman" w:hAnsi="Times New Roman"/>
          <w:b/>
          <w:sz w:val="22"/>
        </w:rPr>
        <w:t xml:space="preserve">Director: </w:t>
      </w:r>
      <w:r>
        <w:rPr>
          <w:rFonts w:ascii="Times New Roman" w:hAnsi="Times New Roman"/>
          <w:sz w:val="22"/>
        </w:rPr>
        <w:t>Ing. Yesica Jara  &amp;  Ing. Esteban González</w:t>
      </w:r>
    </w:p>
    <w:p>
      <w:pPr>
        <w:spacing w:line="360" w:lineRule="auto" w:after="120"/>
      </w:pPr>
      <w:r>
        <w:rPr>
          <w:rFonts w:ascii="Times New Roman" w:hAnsi="Times New Roman"/>
          <w:sz w:val="22"/>
        </w:rPr>
        <w:t>Firma: ________________________________</w:t>
      </w:r>
    </w:p>
    <w:p/>
    <w:p>
      <w:pPr>
        <w:pStyle w:val="Heading1"/>
      </w:pPr>
      <w:r>
        <w:rPr>
          <w:rFonts w:ascii="Times New Roman" w:hAnsi="Times New Roman"/>
          <w:sz w:val="28"/>
        </w:rPr>
        <w:t>Introducción</w:t>
      </w:r>
    </w:p>
    <w:p>
      <w:pPr>
        <w:spacing w:line="360" w:lineRule="auto" w:after="120"/>
        <w:ind w:firstLine="567"/>
        <w:jc w:val="both"/>
      </w:pPr>
      <w:r>
        <w:rPr>
          <w:rFonts w:ascii="Times New Roman" w:hAnsi="Times New Roman"/>
          <w:sz w:val="22"/>
        </w:rPr>
        <w:t>El bombeo electrosumergible (BES, o ESP por sus siglas en inglés) es uno de los métodos de extracción artificial más difundidos en la industria del petróleo. Permite levantar grandes caudales desde pozos profundos con altas eficiencias y se adapta tanto a yacimientos convencionales maduros como a reservorios no convencionales, condiciones ambas presentes en la Cuenca Neuquina. Un equipo BES está integrado por una bomba centrífuga multietapa, un motor eléctrico sumergible, un sello protector, el cable de potencia y los equipos de superficie (transformador y tablero de control, entre otros), todos los cuales deben dimensionarse de forma conjunta y coherente con las condiciones del pozo.</w:t>
      </w:r>
    </w:p>
    <w:p>
      <w:pPr>
        <w:spacing w:line="360" w:lineRule="auto" w:after="120"/>
        <w:ind w:firstLine="567"/>
        <w:jc w:val="both"/>
      </w:pPr>
      <w:r>
        <w:rPr>
          <w:rFonts w:ascii="Times New Roman" w:hAnsi="Times New Roman"/>
          <w:sz w:val="22"/>
        </w:rPr>
        <w:t>El diseño de un sistema BES es un procedimiento iterativo y secuencial que parte de los datos del pozo, el reservorio y el fluido, y atraviesa el cálculo de la capacidad productiva del pozo (IPR), la determinación de la presión de admisión a la bomba (PIP), la estimación de las propiedades PVT del fluido y del gas libre en la succión, el cálculo de la altura dinámica total (TDH) y, finalmente, la selección de la bomba, el motor, el sello, el cable y los equipos de superficie.</w:t>
      </w:r>
    </w:p>
    <w:p>
      <w:pPr>
        <w:spacing w:line="360" w:lineRule="auto" w:after="120"/>
        <w:ind w:firstLine="567"/>
        <w:jc w:val="both"/>
      </w:pPr>
      <w:r>
        <w:rPr>
          <w:rFonts w:ascii="Times New Roman" w:hAnsi="Times New Roman"/>
          <w:sz w:val="22"/>
        </w:rPr>
        <w:t>La bibliografía clásica (Kermit Brown, ed. 1980; Takács, 2018; artículos y publicaciones de la industria del petróleo y gas de la SPE) y los manuales de fabricantes (Reda/SLB, Centrilift/Baker Hughes, Weatherford, Borets) describen este procedimiento mediante secuencias de pasos y el uso intensivo de tablas, ábacos y curvas de performance que tradicionalmente se resuelven en forma manual, o mediante software comerciales cuyas licencias resultan costosas y de acceso limitado al ámbito académico.</w:t>
      </w:r>
    </w:p>
    <w:p>
      <w:pPr>
        <w:spacing w:line="360" w:lineRule="auto" w:after="120"/>
        <w:ind w:firstLine="567"/>
        <w:jc w:val="both"/>
      </w:pPr>
      <w:r>
        <w:rPr>
          <w:rFonts w:ascii="Times New Roman" w:hAnsi="Times New Roman"/>
          <w:sz w:val="22"/>
        </w:rPr>
        <w:t>La resolución manual de este cálculo es laboriosa, propensa a errores de lectura e interpolación y dificulta el análisis de sensibilidad ante cambios en las condiciones operativas, como el aumento del corte de agua, la caída de la presión de reservorio y, especialmente ante la presencia de gas libre.</w:t>
      </w:r>
    </w:p>
    <w:p>
      <w:pPr>
        <w:spacing w:line="360" w:lineRule="auto" w:after="120"/>
        <w:ind w:firstLine="567"/>
        <w:jc w:val="both"/>
      </w:pPr>
      <w:r>
        <w:rPr>
          <w:rFonts w:ascii="Times New Roman" w:hAnsi="Times New Roman"/>
          <w:sz w:val="22"/>
        </w:rPr>
        <w:t>El presente trabajo aborda esa necesidad mediante el desarrollo de una herramienta computacional que automatiza el procedimiento de diseño de sistemas BES. La relevancia del tema radica en su aplicación directa a la realidad productiva de la región: una herramienta de estas características aporta valor a la ingeniería de producción al agilizar el dimensionamiento de equipos, mejorar la trazabilidad de los criterios de selección sobre fundamentos bibliográficos verificables, y facilitar la evaluación comparativa de alternativas técnicas, contribuyendo de modo directo a la optimización del levantamiento artificial en los pozos de la Cuenca Neuquina.</w:t>
      </w:r>
    </w:p>
    <w:p>
      <w:pPr>
        <w:spacing w:line="360" w:lineRule="auto" w:after="120"/>
        <w:ind w:firstLine="567"/>
        <w:jc w:val="both"/>
      </w:pPr>
      <w:r>
        <w:rPr>
          <w:rFonts w:ascii="Times New Roman" w:hAnsi="Times New Roman"/>
          <w:sz w:val="22"/>
        </w:rPr>
        <w:t>Adicionalmente, la herramienta encuentra aplicación natural en el ámbito educativo y de formación profesional, donde la utilización de simuladores comerciales resulta prohibitiva por el costo elevado de sus licencias. La disponibilidad de una herramienta de código abierto, validada contra la bibliografía de referencia, permite a los estudiantes de Ingeniería en Petróleo de la Universidad Nacional del Comahue y de otras instituciones académicas regionales abordar el diseño de sistemas BES con un instrumento técnico riguroso, transparente y sin restricciones de acceso.</w:t>
      </w:r>
    </w:p>
    <w:p>
      <w:pPr>
        <w:pStyle w:val="Heading1"/>
      </w:pPr>
      <w:r>
        <w:rPr>
          <w:rFonts w:ascii="Times New Roman" w:hAnsi="Times New Roman"/>
          <w:sz w:val="28"/>
        </w:rPr>
        <w:t>Objetivos</w:t>
      </w:r>
    </w:p>
    <w:p>
      <w:pPr>
        <w:pStyle w:val="Heading2"/>
      </w:pPr>
      <w:r>
        <w:rPr>
          <w:rFonts w:ascii="Times New Roman" w:hAnsi="Times New Roman"/>
          <w:sz w:val="24"/>
        </w:rPr>
        <w:t>Objetivo general</w:t>
      </w:r>
    </w:p>
    <w:p>
      <w:pPr>
        <w:spacing w:line="360" w:lineRule="auto" w:after="120"/>
        <w:ind w:firstLine="567"/>
        <w:jc w:val="both"/>
      </w:pPr>
      <w:r>
        <w:rPr>
          <w:rFonts w:ascii="Times New Roman" w:hAnsi="Times New Roman"/>
          <w:sz w:val="22"/>
        </w:rPr>
        <w:t>Desarrollar una herramienta computacional que automatice el procedimiento de diseño de sistemas de bombeo electrosumergible, de modo que a partir de los datos de pozo, reservorio, fluido y completación entregue un diseño completo del equipo (bomba, motor, sello, cable y equipos de superficie) con sus recomendaciones de selección, validado contra la bibliografía de referencia.</w:t>
      </w:r>
    </w:p>
    <w:p>
      <w:pPr>
        <w:pStyle w:val="Heading2"/>
      </w:pPr>
      <w:r>
        <w:rPr>
          <w:rFonts w:ascii="Times New Roman" w:hAnsi="Times New Roman"/>
          <w:sz w:val="24"/>
        </w:rPr>
        <w:t>Objetivos específicos</w:t>
      </w:r>
    </w:p>
    <w:p>
      <w:pPr>
        <w:pStyle w:val="ListBullet"/>
        <w:spacing w:line="336" w:lineRule="auto" w:after="60"/>
      </w:pPr>
      <w:r>
        <w:rPr>
          <w:rFonts w:ascii="Times New Roman" w:hAnsi="Times New Roman"/>
          <w:sz w:val="22"/>
        </w:rPr>
        <w:t>Sistematizar el procedimiento de diseño de BES a partir de la bibliografía de referencia, identificando las variables de entrada, las correlaciones y la secuencia de cálculo.</w:t>
      </w:r>
    </w:p>
    <w:p>
      <w:pPr>
        <w:pStyle w:val="ListBullet"/>
        <w:spacing w:line="336" w:lineRule="auto" w:after="60"/>
      </w:pPr>
      <w:r>
        <w:rPr>
          <w:rFonts w:ascii="Times New Roman" w:hAnsi="Times New Roman"/>
          <w:sz w:val="22"/>
        </w:rPr>
        <w:t>Implementar los módulos de cálculo de capacidad productiva (IPR), propiedades PVT del fluido (correlaciones de Standing), flujo multifásico en tubería (correlaciones de Hagedorn-Brown y Beggs-Brill), presión de admisión a la bomba (PIP) y altura dinámica total (TDH).</w:t>
      </w:r>
    </w:p>
    <w:p>
      <w:pPr>
        <w:pStyle w:val="ListBullet"/>
        <w:spacing w:line="336" w:lineRule="auto" w:after="60"/>
      </w:pPr>
      <w:r>
        <w:rPr>
          <w:rFonts w:ascii="Times New Roman" w:hAnsi="Times New Roman"/>
          <w:sz w:val="22"/>
        </w:rPr>
        <w:t>Digitalizar curvas de performance y especificaciones de bombas, motores y cables de distintos fabricantes para conformar una base de datos de catálogos consultable.</w:t>
      </w:r>
    </w:p>
    <w:p>
      <w:pPr>
        <w:pStyle w:val="ListBullet"/>
        <w:spacing w:line="336" w:lineRule="auto" w:after="60"/>
      </w:pPr>
      <w:r>
        <w:rPr>
          <w:rFonts w:ascii="Times New Roman" w:hAnsi="Times New Roman"/>
          <w:sz w:val="22"/>
        </w:rPr>
        <w:t>Desarrollar un módulo de selección y recomendación de equipos que dimensione el número de etapas, la potencia del motor, el cable y el transformador, y proponga alternativas ordenadas por criterios de eficiencia y operatividad.</w:t>
      </w:r>
    </w:p>
    <w:p>
      <w:pPr>
        <w:pStyle w:val="ListBullet"/>
        <w:spacing w:line="336" w:lineRule="auto" w:after="60"/>
      </w:pPr>
      <w:r>
        <w:rPr>
          <w:rFonts w:ascii="Times New Roman" w:hAnsi="Times New Roman"/>
          <w:sz w:val="22"/>
        </w:rPr>
        <w:t>Validar la herramienta reproduciendo los ejemplos de diseño resueltos en la bibliografía y, posteriormente, aplicarla al caso de un pozo real de la Cuenca Neuquina.</w:t>
      </w:r>
    </w:p>
    <w:p>
      <w:pPr>
        <w:pStyle w:val="ListBullet"/>
        <w:spacing w:line="336" w:lineRule="auto" w:after="60"/>
      </w:pPr>
      <w:r>
        <w:rPr>
          <w:rFonts w:ascii="Times New Roman" w:hAnsi="Times New Roman"/>
          <w:sz w:val="22"/>
        </w:rPr>
        <w:t>Incorporar el manejo de gas libre en la succión mediante el método de incrementos de presión y evaluar la sensibilidad del diseño ante cambios en las condiciones operativas del pozo (corte de agua, presión de reservorio y relación gas-líquido).</w:t>
      </w:r>
    </w:p>
    <w:p>
      <w:pPr>
        <w:pStyle w:val="Heading1"/>
      </w:pPr>
      <w:r>
        <w:rPr>
          <w:rFonts w:ascii="Times New Roman" w:hAnsi="Times New Roman"/>
          <w:sz w:val="28"/>
        </w:rPr>
        <w:t>Metodología</w:t>
      </w:r>
    </w:p>
    <w:p>
      <w:pPr>
        <w:spacing w:line="360" w:lineRule="auto" w:after="120"/>
        <w:ind w:firstLine="567"/>
        <w:jc w:val="both"/>
      </w:pPr>
      <w:r>
        <w:rPr>
          <w:rFonts w:ascii="Times New Roman" w:hAnsi="Times New Roman"/>
          <w:sz w:val="22"/>
        </w:rPr>
        <w:t>El trabajo se desarrollará mediante una metodología de tipo aplicada, combinando la revisión bibliográfica, el desarrollo de la herramienta de cálculo y su validación con casos de diseño.</w:t>
      </w:r>
    </w:p>
    <w:p>
      <w:pPr>
        <w:spacing w:line="360" w:lineRule="auto" w:after="120"/>
        <w:ind w:firstLine="567"/>
        <w:jc w:val="both"/>
      </w:pPr>
      <w:r>
        <w:rPr>
          <w:rFonts w:ascii="Times New Roman" w:hAnsi="Times New Roman"/>
          <w:sz w:val="22"/>
        </w:rPr>
        <w:t>En primer lugar, se realizará una recopilación y análisis de la bibliografía especializada en bombeo electrosumergible y diseño de levantamiento artificial, así como de los manuales técnicos y catálogos de fabricantes de equipos (curvas de performance de bombas, especificaciones de motores y cables). A partir de este material se sistematizará el procedimiento de diseño y se definirán las correlaciones de ingeniería de reservorios y de flujo multifásico a emplear.</w:t>
      </w:r>
    </w:p>
    <w:p>
      <w:pPr>
        <w:spacing w:line="360" w:lineRule="auto" w:after="120"/>
        <w:ind w:firstLine="567"/>
        <w:jc w:val="both"/>
      </w:pPr>
      <w:r>
        <w:rPr>
          <w:rFonts w:ascii="Times New Roman" w:hAnsi="Times New Roman"/>
          <w:sz w:val="22"/>
        </w:rPr>
        <w:t>En segundo lugar, se desarrollará la herramienta de cálculo en lenguaje Python, organizada en módulos independientes que reproducen cada etapa del diseño (capacidad productiva, propiedades del fluido, flujo multifásico, altura dinámica total y selección de equipos), una base de datos de catálogos y un módulo de recomendación. La interacción con el usuario se resolverá mediante una interfaz que permita cargar los datos del pozo y visualizar los resultados y las curvas características. La programación se entiende como una herramienta al servicio del cálculo de ingeniería y no como un fin en sí mismo.</w:t>
      </w:r>
    </w:p>
    <w:p>
      <w:pPr>
        <w:spacing w:line="360" w:lineRule="auto" w:after="120"/>
        <w:ind w:firstLine="567"/>
        <w:jc w:val="both"/>
      </w:pPr>
      <w:r>
        <w:rPr>
          <w:rFonts w:ascii="Times New Roman" w:hAnsi="Times New Roman"/>
          <w:sz w:val="22"/>
        </w:rPr>
        <w:t>Finalmente, se validará la herramienta comparando sus resultados con los ejemplos de diseño resueltos en la bibliografía y, una vez verificada, se aplicará al diseño del sistema BES de un pozo real de la Cuenca Neuquina, complementado con un análisis de sensibilidad de las variables operativas más relevantes. La información de pozo, reservorio y fluido del caso real será aportada por una empresa operadora de la región, y se complementará con bibliografía técnica cuando sea necesario.</w:t>
      </w:r>
    </w:p>
    <w:p>
      <w:pPr>
        <w:pStyle w:val="Heading1"/>
      </w:pPr>
      <w:r>
        <w:rPr>
          <w:rFonts w:ascii="Times New Roman" w:hAnsi="Times New Roman"/>
          <w:sz w:val="28"/>
        </w:rPr>
        <w:t>Actividades Específicas</w:t>
      </w:r>
    </w:p>
    <w:p>
      <w:pPr>
        <w:pStyle w:val="ListNumber"/>
        <w:spacing w:line="336" w:lineRule="auto" w:after="60"/>
      </w:pPr>
      <w:r>
        <w:rPr>
          <w:rFonts w:ascii="Times New Roman" w:hAnsi="Times New Roman"/>
          <w:sz w:val="22"/>
        </w:rPr>
        <w:t>Revisión bibliográfica del método BES y del procedimiento de diseño; relevamiento de catálogos y curvas de fabricantes.</w:t>
      </w:r>
    </w:p>
    <w:p>
      <w:pPr>
        <w:pStyle w:val="ListNumber"/>
        <w:spacing w:line="336" w:lineRule="auto" w:after="60"/>
      </w:pPr>
      <w:r>
        <w:rPr>
          <w:rFonts w:ascii="Times New Roman" w:hAnsi="Times New Roman"/>
          <w:sz w:val="22"/>
        </w:rPr>
        <w:t>Sistematización del procedimiento de diseño y definición de las variables de entrada, las correlaciones y la secuencia de cálculo.</w:t>
      </w:r>
    </w:p>
    <w:p>
      <w:pPr>
        <w:pStyle w:val="ListNumber"/>
        <w:spacing w:line="336" w:lineRule="auto" w:after="60"/>
      </w:pPr>
      <w:r>
        <w:rPr>
          <w:rFonts w:ascii="Times New Roman" w:hAnsi="Times New Roman"/>
          <w:sz w:val="22"/>
        </w:rPr>
        <w:t>Desarrollo e implementación de los módulos de cálculo (IPR, PVT, flujo multifásico, PIP y TDH) y digitalización de la base de datos de catálogos.</w:t>
      </w:r>
    </w:p>
    <w:p>
      <w:pPr>
        <w:pStyle w:val="ListNumber"/>
        <w:spacing w:line="336" w:lineRule="auto" w:after="60"/>
      </w:pPr>
      <w:r>
        <w:rPr>
          <w:rFonts w:ascii="Times New Roman" w:hAnsi="Times New Roman"/>
          <w:sz w:val="22"/>
        </w:rPr>
        <w:t>Desarrollo del módulo de selección y recomendación de equipos (etapas, motor, cable y transformador) e integración con la interfaz de usuario.</w:t>
      </w:r>
    </w:p>
    <w:p>
      <w:pPr>
        <w:pStyle w:val="ListNumber"/>
        <w:spacing w:line="336" w:lineRule="auto" w:after="60"/>
      </w:pPr>
      <w:r>
        <w:rPr>
          <w:rFonts w:ascii="Times New Roman" w:hAnsi="Times New Roman"/>
          <w:sz w:val="22"/>
        </w:rPr>
        <w:t>Validación de la herramienta contra los ejemplos de diseño de la bibliografía y aplicación al caso de un pozo real, incluyendo el análisis de sensibilidad.</w:t>
      </w:r>
    </w:p>
    <w:p>
      <w:pPr>
        <w:pStyle w:val="ListNumber"/>
        <w:spacing w:line="336" w:lineRule="auto" w:after="60"/>
      </w:pPr>
      <w:r>
        <w:rPr>
          <w:rFonts w:ascii="Times New Roman" w:hAnsi="Times New Roman"/>
          <w:sz w:val="22"/>
        </w:rPr>
        <w:t>Análisis de resultados, redacción del informe final y preparación de la defensa.</w:t>
      </w:r>
    </w:p>
    <w:p>
      <w:pPr>
        <w:pStyle w:val="Heading1"/>
      </w:pPr>
      <w:r>
        <w:rPr>
          <w:rFonts w:ascii="Times New Roman" w:hAnsi="Times New Roman"/>
          <w:sz w:val="28"/>
        </w:rPr>
        <w:t>Cronograma tentativo</w:t>
      </w:r>
    </w:p>
    <w:p>
      <w:pPr>
        <w:spacing w:line="360" w:lineRule="auto" w:after="120"/>
        <w:ind w:firstLine="567"/>
        <w:jc w:val="both"/>
      </w:pPr>
      <w:r>
        <w:rPr>
          <w:rFonts w:ascii="Times New Roman" w:hAnsi="Times New Roman"/>
          <w:sz w:val="22"/>
        </w:rPr>
        <w:t>El plan de trabajo se desarrollará en un período de seis meses, cumpliendo holgadamente con el requisito mínimo de 240 horas. La distribución temporal de las actividades se presenta en la siguiente tabla, donde cada columna representa un mes de trabajo.</w:t>
      </w:r>
    </w:p>
    <w:tbl>
      <w:tblPr>
        <w:tblStyle w:val="LightGrid-Accent1"/>
        <w:tblW w:type="auto" w:w="0"/>
        <w:tblLook w:firstColumn="1" w:firstRow="1" w:lastColumn="0" w:lastRow="0" w:noHBand="0" w:noVBand="1" w:val="04A0"/>
      </w:tblPr>
      <w:tblGrid>
        <w:gridCol w:w="1319"/>
        <w:gridCol w:w="1319"/>
        <w:gridCol w:w="1319"/>
        <w:gridCol w:w="1319"/>
        <w:gridCol w:w="1319"/>
        <w:gridCol w:w="1319"/>
        <w:gridCol w:w="1319"/>
      </w:tblGrid>
      <w:tr>
        <w:tc>
          <w:tcPr>
            <w:tcW w:type="dxa" w:w="1319"/>
          </w:tcPr>
          <w:p>
            <w:r>
              <w:t>Actividad</w:t>
            </w:r>
          </w:p>
        </w:tc>
        <w:tc>
          <w:tcPr>
            <w:tcW w:type="dxa" w:w="1319"/>
          </w:tcPr>
          <w:p>
            <w:r>
              <w:rPr>
                <w:b/>
              </w:rPr>
              <w:t>M1</w:t>
            </w:r>
          </w:p>
        </w:tc>
        <w:tc>
          <w:tcPr>
            <w:tcW w:type="dxa" w:w="1319"/>
          </w:tcPr>
          <w:p>
            <w:r>
              <w:rPr>
                <w:b/>
              </w:rPr>
              <w:t>M2</w:t>
            </w:r>
          </w:p>
        </w:tc>
        <w:tc>
          <w:tcPr>
            <w:tcW w:type="dxa" w:w="1319"/>
          </w:tcPr>
          <w:p>
            <w:r>
              <w:rPr>
                <w:b/>
              </w:rPr>
              <w:t>M3</w:t>
            </w:r>
          </w:p>
        </w:tc>
        <w:tc>
          <w:tcPr>
            <w:tcW w:type="dxa" w:w="1319"/>
          </w:tcPr>
          <w:p>
            <w:r>
              <w:rPr>
                <w:b/>
              </w:rPr>
              <w:t>M4</w:t>
            </w:r>
          </w:p>
        </w:tc>
        <w:tc>
          <w:tcPr>
            <w:tcW w:type="dxa" w:w="1319"/>
          </w:tcPr>
          <w:p>
            <w:r>
              <w:rPr>
                <w:b/>
              </w:rPr>
              <w:t>M5</w:t>
            </w:r>
          </w:p>
        </w:tc>
        <w:tc>
          <w:tcPr>
            <w:tcW w:type="dxa" w:w="1319"/>
          </w:tcPr>
          <w:p>
            <w:r>
              <w:rPr>
                <w:b/>
              </w:rPr>
              <w:t>M6</w:t>
            </w:r>
          </w:p>
        </w:tc>
      </w:tr>
      <w:tr>
        <w:tc>
          <w:tcPr>
            <w:tcW w:type="dxa" w:w="1319"/>
          </w:tcPr>
          <w:p>
            <w:r>
              <w:t>1. Revisión bibliográfica y catálogos</w:t>
            </w:r>
          </w:p>
        </w:tc>
        <w:tc>
          <w:tcPr>
            <w:tcW w:type="dxa" w:w="1319"/>
          </w:tcPr>
          <w:p>
            <w:r>
              <w:t>X</w:t>
            </w:r>
          </w:p>
        </w:tc>
        <w:tc>
          <w:tcPr>
            <w:tcW w:type="dxa" w:w="1319"/>
          </w:tcPr>
          <w:p>
            <w:r>
              <w:t>X</w:t>
            </w:r>
          </w:p>
        </w:tc>
        <w:tc>
          <w:tcPr>
            <w:tcW w:type="dxa" w:w="1319"/>
          </w:tcPr>
          <w:p>
            <w:r/>
          </w:p>
        </w:tc>
        <w:tc>
          <w:tcPr>
            <w:tcW w:type="dxa" w:w="1319"/>
          </w:tcPr>
          <w:p>
            <w:r/>
          </w:p>
        </w:tc>
        <w:tc>
          <w:tcPr>
            <w:tcW w:type="dxa" w:w="1319"/>
          </w:tcPr>
          <w:p>
            <w:r/>
          </w:p>
        </w:tc>
        <w:tc>
          <w:tcPr>
            <w:tcW w:type="dxa" w:w="1319"/>
          </w:tcPr>
          <w:p>
            <w:r/>
          </w:p>
        </w:tc>
      </w:tr>
      <w:tr>
        <w:tc>
          <w:tcPr>
            <w:tcW w:type="dxa" w:w="1319"/>
          </w:tcPr>
          <w:p>
            <w:r>
              <w:t>2. Sistematización del procedimiento de diseño</w:t>
            </w:r>
          </w:p>
        </w:tc>
        <w:tc>
          <w:tcPr>
            <w:tcW w:type="dxa" w:w="1319"/>
          </w:tcPr>
          <w:p>
            <w:r>
              <w:t>X</w:t>
            </w:r>
          </w:p>
        </w:tc>
        <w:tc>
          <w:tcPr>
            <w:tcW w:type="dxa" w:w="1319"/>
          </w:tcPr>
          <w:p>
            <w:r>
              <w:t>X</w:t>
            </w:r>
          </w:p>
        </w:tc>
        <w:tc>
          <w:tcPr>
            <w:tcW w:type="dxa" w:w="1319"/>
          </w:tcPr>
          <w:p>
            <w:r/>
          </w:p>
        </w:tc>
        <w:tc>
          <w:tcPr>
            <w:tcW w:type="dxa" w:w="1319"/>
          </w:tcPr>
          <w:p>
            <w:r/>
          </w:p>
        </w:tc>
        <w:tc>
          <w:tcPr>
            <w:tcW w:type="dxa" w:w="1319"/>
          </w:tcPr>
          <w:p>
            <w:r/>
          </w:p>
        </w:tc>
        <w:tc>
          <w:tcPr>
            <w:tcW w:type="dxa" w:w="1319"/>
          </w:tcPr>
          <w:p>
            <w:r/>
          </w:p>
        </w:tc>
      </w:tr>
      <w:tr>
        <w:tc>
          <w:tcPr>
            <w:tcW w:type="dxa" w:w="1319"/>
          </w:tcPr>
          <w:p>
            <w:r>
              <w:t>3. Módulos de cálculo y base de catálogos</w:t>
            </w:r>
          </w:p>
        </w:tc>
        <w:tc>
          <w:tcPr>
            <w:tcW w:type="dxa" w:w="1319"/>
          </w:tcPr>
          <w:p>
            <w:r/>
          </w:p>
        </w:tc>
        <w:tc>
          <w:tcPr>
            <w:tcW w:type="dxa" w:w="1319"/>
          </w:tcPr>
          <w:p>
            <w:r>
              <w:t>X</w:t>
            </w:r>
          </w:p>
        </w:tc>
        <w:tc>
          <w:tcPr>
            <w:tcW w:type="dxa" w:w="1319"/>
          </w:tcPr>
          <w:p>
            <w:r>
              <w:t>X</w:t>
            </w:r>
          </w:p>
        </w:tc>
        <w:tc>
          <w:tcPr>
            <w:tcW w:type="dxa" w:w="1319"/>
          </w:tcPr>
          <w:p>
            <w:r>
              <w:t>X</w:t>
            </w:r>
          </w:p>
        </w:tc>
        <w:tc>
          <w:tcPr>
            <w:tcW w:type="dxa" w:w="1319"/>
          </w:tcPr>
          <w:p>
            <w:r/>
          </w:p>
        </w:tc>
        <w:tc>
          <w:tcPr>
            <w:tcW w:type="dxa" w:w="1319"/>
          </w:tcPr>
          <w:p>
            <w:r/>
          </w:p>
        </w:tc>
      </w:tr>
      <w:tr>
        <w:tc>
          <w:tcPr>
            <w:tcW w:type="dxa" w:w="1319"/>
          </w:tcPr>
          <w:p>
            <w:r>
              <w:t>4. Recomendador de equipos e interfaz</w:t>
            </w:r>
          </w:p>
        </w:tc>
        <w:tc>
          <w:tcPr>
            <w:tcW w:type="dxa" w:w="1319"/>
          </w:tcPr>
          <w:p>
            <w:r/>
          </w:p>
        </w:tc>
        <w:tc>
          <w:tcPr>
            <w:tcW w:type="dxa" w:w="1319"/>
          </w:tcPr>
          <w:p>
            <w:r/>
          </w:p>
        </w:tc>
        <w:tc>
          <w:tcPr>
            <w:tcW w:type="dxa" w:w="1319"/>
          </w:tcPr>
          <w:p>
            <w:r>
              <w:t>X</w:t>
            </w:r>
          </w:p>
        </w:tc>
        <w:tc>
          <w:tcPr>
            <w:tcW w:type="dxa" w:w="1319"/>
          </w:tcPr>
          <w:p>
            <w:r>
              <w:t>X</w:t>
            </w:r>
          </w:p>
        </w:tc>
        <w:tc>
          <w:tcPr>
            <w:tcW w:type="dxa" w:w="1319"/>
          </w:tcPr>
          <w:p>
            <w:r>
              <w:t>X</w:t>
            </w:r>
          </w:p>
        </w:tc>
        <w:tc>
          <w:tcPr>
            <w:tcW w:type="dxa" w:w="1319"/>
          </w:tcPr>
          <w:p>
            <w:r/>
          </w:p>
        </w:tc>
      </w:tr>
      <w:tr>
        <w:tc>
          <w:tcPr>
            <w:tcW w:type="dxa" w:w="1319"/>
          </w:tcPr>
          <w:p>
            <w:r>
              <w:t>5. Validación y caso de pozo real</w:t>
            </w:r>
          </w:p>
        </w:tc>
        <w:tc>
          <w:tcPr>
            <w:tcW w:type="dxa" w:w="1319"/>
          </w:tcPr>
          <w:p>
            <w:r/>
          </w:p>
        </w:tc>
        <w:tc>
          <w:tcPr>
            <w:tcW w:type="dxa" w:w="1319"/>
          </w:tcPr>
          <w:p>
            <w:r/>
          </w:p>
        </w:tc>
        <w:tc>
          <w:tcPr>
            <w:tcW w:type="dxa" w:w="1319"/>
          </w:tcPr>
          <w:p>
            <w:r/>
          </w:p>
        </w:tc>
        <w:tc>
          <w:tcPr>
            <w:tcW w:type="dxa" w:w="1319"/>
          </w:tcPr>
          <w:p>
            <w:r>
              <w:t>X</w:t>
            </w:r>
          </w:p>
        </w:tc>
        <w:tc>
          <w:tcPr>
            <w:tcW w:type="dxa" w:w="1319"/>
          </w:tcPr>
          <w:p>
            <w:r>
              <w:t>X</w:t>
            </w:r>
          </w:p>
        </w:tc>
        <w:tc>
          <w:tcPr>
            <w:tcW w:type="dxa" w:w="1319"/>
          </w:tcPr>
          <w:p>
            <w:r>
              <w:t>X</w:t>
            </w:r>
          </w:p>
        </w:tc>
      </w:tr>
      <w:tr>
        <w:tc>
          <w:tcPr>
            <w:tcW w:type="dxa" w:w="1319"/>
          </w:tcPr>
          <w:p>
            <w:r>
              <w:t>6. Análisis, redacción del informe y defensa</w:t>
            </w:r>
          </w:p>
        </w:tc>
        <w:tc>
          <w:tcPr>
            <w:tcW w:type="dxa" w:w="1319"/>
          </w:tcPr>
          <w:p>
            <w:r/>
          </w:p>
        </w:tc>
        <w:tc>
          <w:tcPr>
            <w:tcW w:type="dxa" w:w="1319"/>
          </w:tcPr>
          <w:p>
            <w:r/>
          </w:p>
        </w:tc>
        <w:tc>
          <w:tcPr>
            <w:tcW w:type="dxa" w:w="1319"/>
          </w:tcPr>
          <w:p>
            <w:r/>
          </w:p>
        </w:tc>
        <w:tc>
          <w:tcPr>
            <w:tcW w:type="dxa" w:w="1319"/>
          </w:tcPr>
          <w:p>
            <w:r/>
          </w:p>
        </w:tc>
        <w:tc>
          <w:tcPr>
            <w:tcW w:type="dxa" w:w="1319"/>
          </w:tcPr>
          <w:p>
            <w:r>
              <w:t>X</w:t>
            </w:r>
          </w:p>
        </w:tc>
        <w:tc>
          <w:tcPr>
            <w:tcW w:type="dxa" w:w="1319"/>
          </w:tcPr>
          <w:p>
            <w:r>
              <w:t>X</w:t>
            </w:r>
          </w:p>
        </w:tc>
      </w:tr>
    </w:tbl>
    <w:p/>
    <w:p>
      <w:pPr>
        <w:pStyle w:val="Heading1"/>
      </w:pPr>
      <w:r>
        <w:rPr>
          <w:rFonts w:ascii="Times New Roman" w:hAnsi="Times New Roman"/>
          <w:sz w:val="28"/>
        </w:rPr>
        <w:t>Ámbito de desarrollo del PIP</w:t>
      </w:r>
    </w:p>
    <w:p>
      <w:pPr>
        <w:spacing w:line="360" w:lineRule="auto" w:after="120"/>
        <w:ind w:firstLine="567"/>
        <w:jc w:val="both"/>
      </w:pPr>
      <w:r>
        <w:rPr>
          <w:rFonts w:ascii="Times New Roman" w:hAnsi="Times New Roman"/>
          <w:sz w:val="22"/>
        </w:rPr>
        <w:t>El Proyecto Integrador Profesional se desarrollará principalmente en el ámbito de la Facultad de Ingeniería de la Universidad Nacional del Comahue, Departamento de Geología y Petróleo, donde se llevarán a cabo las tareas de revisión bibliográfica, desarrollo de la herramienta de cálculo y análisis de resultados, bajo la supervisión del director del trabajo. El desarrollo es de carácter computacional y de gabinete, por lo que no requiere trabajo de laboratorio ni de campo. Para la etapa de validación se contará con la colaboración de una empresa operadora de la región, que aportará los datos de pozo, reservorio y fluido del caso real que se utilizará para verificar la herramienta. Los datos de la empresa son: Universidad Nacional del Comahue (a completar).</w:t>
      </w:r>
    </w:p>
    <w:p>
      <w:pPr>
        <w:pStyle w:val="Heading1"/>
      </w:pPr>
      <w:r>
        <w:rPr>
          <w:rFonts w:ascii="Times New Roman" w:hAnsi="Times New Roman"/>
          <w:sz w:val="28"/>
        </w:rPr>
        <w:t>Presentación Institucional del Plan de Trabajo y Tribunal Evaluador</w:t>
      </w:r>
    </w:p>
    <w:p>
      <w:pPr>
        <w:spacing w:line="360" w:lineRule="auto" w:after="120"/>
        <w:ind w:firstLine="567"/>
        <w:jc w:val="both"/>
      </w:pPr>
      <w:r>
        <w:rPr>
          <w:rFonts w:ascii="Times New Roman" w:hAnsi="Times New Roman"/>
          <w:sz w:val="22"/>
        </w:rPr>
        <w:t>De acuerdo con la normativa vigente del Proyecto Integrador Profesional de la Carrera de Ingeniería en Petróleo de la Facultad de Ingeniería de la Universidad Nacional del Comahue, se deberá enviar una nota al Departamento de Geología y Petróleo con copia al Director de Carrera, dirigida a la Comisión de Seguimiento Curricular, presentando formalmente el presente Plan de Trabajo del Proyecto Integrador Profesional para su evaluación y aprobación.</w:t>
      </w:r>
    </w:p>
    <w:p>
      <w:pPr>
        <w:spacing w:line="360" w:lineRule="auto" w:after="120"/>
        <w:ind w:firstLine="567"/>
        <w:jc w:val="both"/>
      </w:pPr>
      <w:r>
        <w:rPr>
          <w:rFonts w:ascii="Times New Roman" w:hAnsi="Times New Roman"/>
          <w:sz w:val="22"/>
        </w:rPr>
        <w:t>La nota de presentación deberá incluir como mínimo:</w:t>
      </w:r>
    </w:p>
    <w:p>
      <w:pPr>
        <w:pStyle w:val="ListBullet"/>
        <w:spacing w:line="336" w:lineRule="auto" w:after="60"/>
      </w:pPr>
      <w:r>
        <w:rPr>
          <w:rFonts w:ascii="Times New Roman" w:hAnsi="Times New Roman"/>
          <w:sz w:val="22"/>
        </w:rPr>
        <w:t>Datos completos del alumno (nombre, apellido, legajo y carrera).</w:t>
      </w:r>
    </w:p>
    <w:p>
      <w:pPr>
        <w:pStyle w:val="ListBullet"/>
        <w:spacing w:line="336" w:lineRule="auto" w:after="60"/>
      </w:pPr>
      <w:r>
        <w:rPr>
          <w:rFonts w:ascii="Times New Roman" w:hAnsi="Times New Roman"/>
          <w:sz w:val="22"/>
        </w:rPr>
        <w:t>Datos completos de los directores propuestos (nombre, apellido, título profesional y filiación institucional).</w:t>
      </w:r>
    </w:p>
    <w:p>
      <w:pPr>
        <w:pStyle w:val="ListBullet"/>
        <w:spacing w:line="336" w:lineRule="auto" w:after="60"/>
      </w:pPr>
      <w:r>
        <w:rPr>
          <w:rFonts w:ascii="Times New Roman" w:hAnsi="Times New Roman"/>
          <w:sz w:val="22"/>
        </w:rPr>
        <w:t>Título completo del Proyecto Integrador Profesional.</w:t>
      </w:r>
    </w:p>
    <w:p>
      <w:pPr>
        <w:pStyle w:val="ListBullet"/>
        <w:spacing w:line="336" w:lineRule="auto" w:after="60"/>
      </w:pPr>
      <w:r>
        <w:rPr>
          <w:rFonts w:ascii="Times New Roman" w:hAnsi="Times New Roman"/>
          <w:sz w:val="22"/>
        </w:rPr>
        <w:t>Síntesis del Plan de Trabajo (el presente documento) como anexo.</w:t>
      </w:r>
    </w:p>
    <w:p>
      <w:pPr>
        <w:pStyle w:val="ListBullet"/>
        <w:spacing w:line="336" w:lineRule="auto" w:after="60"/>
      </w:pPr>
      <w:r>
        <w:rPr>
          <w:rFonts w:ascii="Times New Roman" w:hAnsi="Times New Roman"/>
          <w:sz w:val="22"/>
        </w:rPr>
        <w:t>Conformidad expresa del o los directores propuestos para acompañar el desarrollo del Proyecto.</w:t>
      </w:r>
    </w:p>
    <w:p>
      <w:pPr>
        <w:spacing w:line="360" w:lineRule="auto" w:after="120"/>
        <w:ind w:firstLine="567"/>
        <w:jc w:val="both"/>
      </w:pPr>
      <w:r>
        <w:rPr>
          <w:rFonts w:ascii="Times New Roman" w:hAnsi="Times New Roman"/>
          <w:sz w:val="22"/>
        </w:rPr>
        <w:t>Una vez recibida la nota por la Comisión de Seguimiento Curricular, se procederá a la selección del Tribunal Evaluador del Plan de Trabajo, conformado por docentes del Departamento de Geología y Petróleo o, en su defecto, por profesionales externos con incumbencia en el área temática del Proyecto. El Tribunal Evaluador tendrá a su cargo la lectura, análisis y emisión de dictamen sobre la viabilidad técnica, académica y temporal del Plan de Trabajo presentado, así como la formulación de observaciones, sugerencias o requerimientos de modificación que considere pertinentes con anterioridad al inicio formal del desarrollo del Proyecto.</w:t>
      </w:r>
    </w:p>
    <w:p>
      <w:pPr>
        <w:spacing w:line="360" w:lineRule="auto" w:after="120"/>
        <w:ind w:firstLine="567"/>
        <w:jc w:val="both"/>
      </w:pPr>
      <w:r>
        <w:rPr>
          <w:rFonts w:ascii="Times New Roman" w:hAnsi="Times New Roman"/>
          <w:sz w:val="22"/>
        </w:rPr>
        <w:t>La aprobación del Plan de Trabajo por parte del Tribunal Evaluador constituye el requisito formal para el inicio del cronograma de actividades descripto en la sección anterior. La defensa final del Proyecto Integrador Profesional se realizará ante un Tribunal Evaluador de Defensa, designado oportunamente por las autoridades del Departamento, integrado por docentes especialistas en levantamiento artificial, ingeniería de producción y/o sistemas computacionales aplicados a la industria del petróleo.</w:t>
      </w:r>
    </w:p>
    <w:p>
      <w:pPr>
        <w:spacing w:line="360" w:lineRule="auto" w:after="120"/>
        <w:ind w:firstLine="567"/>
        <w:jc w:val="both"/>
      </w:pPr>
      <w:r>
        <w:rPr>
          <w:rFonts w:ascii="Times New Roman" w:hAnsi="Times New Roman"/>
          <w:sz w:val="22"/>
        </w:rPr>
        <w:t>Las correcciones, observaciones o ajustes que surjan del proceso evaluatorio del Plan de Trabajo serán incorporados al presente documento por el alumno y refrendados por los directores antes de la presentación definitiva.</w:t>
      </w:r>
    </w:p>
    <w:p>
      <w:pPr>
        <w:pStyle w:val="Heading1"/>
      </w:pPr>
      <w:r>
        <w:rPr>
          <w:rFonts w:ascii="Times New Roman" w:hAnsi="Times New Roman"/>
          <w:sz w:val="28"/>
        </w:rPr>
        <w:t>Bibliografía orientativa a utilizar</w:t>
      </w:r>
    </w:p>
    <w:p>
      <w:pPr>
        <w:spacing w:line="312" w:lineRule="auto" w:after="80"/>
        <w:ind w:left="567" w:hanging="567"/>
        <w:jc w:val="both"/>
      </w:pPr>
      <w:r>
        <w:rPr>
          <w:rFonts w:ascii="Times New Roman" w:hAnsi="Times New Roman"/>
          <w:sz w:val="22"/>
        </w:rPr>
        <w:t>Beggs, H. D. (2003). Production Optimization Using Nodal Analysis (2nd ed.). OGCI and Petroskills Publications, Tulsa, Oklahoma.</w:t>
      </w:r>
    </w:p>
    <w:p>
      <w:pPr>
        <w:spacing w:line="312" w:lineRule="auto" w:after="80"/>
        <w:ind w:left="567" w:hanging="567"/>
        <w:jc w:val="both"/>
      </w:pPr>
      <w:r>
        <w:rPr>
          <w:rFonts w:ascii="Times New Roman" w:hAnsi="Times New Roman"/>
          <w:sz w:val="22"/>
        </w:rPr>
        <w:t>Brown, K. E. (1980). The Technology of Artificial Lift Methods, Volume 2b. PennWell Publishing Company, Tulsa, Oklahoma.</w:t>
      </w:r>
    </w:p>
    <w:p>
      <w:pPr>
        <w:spacing w:line="312" w:lineRule="auto" w:after="80"/>
        <w:ind w:left="567" w:hanging="567"/>
        <w:jc w:val="both"/>
      </w:pPr>
      <w:r>
        <w:rPr>
          <w:rFonts w:ascii="Times New Roman" w:hAnsi="Times New Roman"/>
          <w:sz w:val="22"/>
        </w:rPr>
        <w:t>Centrilift / Baker Hughes. Submersible Pump Handbook. Baker Hughes Centrilift, Claremore, Oklahoma.</w:t>
      </w:r>
    </w:p>
    <w:p>
      <w:pPr>
        <w:spacing w:line="312" w:lineRule="auto" w:after="80"/>
        <w:ind w:left="567" w:hanging="567"/>
        <w:jc w:val="both"/>
      </w:pPr>
      <w:r>
        <w:rPr>
          <w:rFonts w:ascii="Times New Roman" w:hAnsi="Times New Roman"/>
          <w:sz w:val="22"/>
        </w:rPr>
        <w:t>Lyons, W. C., &amp; Plisga, G. J. (Eds.) (2005). Standard Handbook of Petroleum and Natural Gas Engineering (2nd ed.). Gulf Professional Publishing, Elsevier.</w:t>
      </w:r>
    </w:p>
    <w:p>
      <w:pPr>
        <w:spacing w:line="312" w:lineRule="auto" w:after="80"/>
        <w:ind w:left="567" w:hanging="567"/>
        <w:jc w:val="both"/>
      </w:pPr>
      <w:r>
        <w:rPr>
          <w:rFonts w:ascii="Times New Roman" w:hAnsi="Times New Roman"/>
          <w:sz w:val="22"/>
        </w:rPr>
        <w:t>Python Software Foundation. Python Language Reference. Disponible en https://www.python.org (consultado en 2026).</w:t>
      </w:r>
    </w:p>
    <w:p>
      <w:pPr>
        <w:spacing w:line="312" w:lineRule="auto" w:after="80"/>
        <w:ind w:left="567" w:hanging="567"/>
        <w:jc w:val="both"/>
      </w:pPr>
      <w:r>
        <w:rPr>
          <w:rFonts w:ascii="Times New Roman" w:hAnsi="Times New Roman"/>
          <w:sz w:val="22"/>
        </w:rPr>
        <w:t>Schlumberger (REDA). Artificial Lift – ESP Systems, Technical Catalogs. Schlumberger Limited.</w:t>
      </w:r>
    </w:p>
    <w:p>
      <w:pPr>
        <w:spacing w:line="312" w:lineRule="auto" w:after="80"/>
        <w:ind w:left="567" w:hanging="567"/>
        <w:jc w:val="both"/>
      </w:pPr>
      <w:r>
        <w:rPr>
          <w:rFonts w:ascii="Times New Roman" w:hAnsi="Times New Roman"/>
          <w:sz w:val="22"/>
        </w:rPr>
        <w:t>Standing, M. B. (1947). A Pressure-Volume-Temperature Correlation for Mixtures of California Oils and Gases. Drilling and Production Practice, API, 275–287.</w:t>
      </w:r>
    </w:p>
    <w:p>
      <w:pPr>
        <w:spacing w:line="312" w:lineRule="auto" w:after="80"/>
        <w:ind w:left="567" w:hanging="567"/>
        <w:jc w:val="both"/>
      </w:pPr>
      <w:r>
        <w:rPr>
          <w:rFonts w:ascii="Times New Roman" w:hAnsi="Times New Roman"/>
          <w:sz w:val="22"/>
        </w:rPr>
        <w:t>Takács, G. (2018). Electrical Submersible Pumps Manual: Design, Operations, and Maintenance (2nd ed.). Gulf Professional Publishing, Elsevier.</w:t>
      </w:r>
    </w:p>
    <w:p>
      <w:pPr>
        <w:spacing w:line="312" w:lineRule="auto" w:after="80"/>
        <w:ind w:left="567" w:hanging="567"/>
        <w:jc w:val="both"/>
      </w:pPr>
      <w:r>
        <w:rPr>
          <w:rFonts w:ascii="Times New Roman" w:hAnsi="Times New Roman"/>
          <w:sz w:val="22"/>
        </w:rPr>
        <w:t>Vogel, J. V. (1968). Inflow Performance Relationships for Solution-Gas Drive Wells. Journal of Petroleum Technology, 20(1), 83–92.</w:t>
      </w:r>
    </w:p>
    <w:p/>
    <w:p/>
    <w:p>
      <w:pPr>
        <w:jc w:val="center"/>
      </w:pPr>
      <w:r>
        <w:rPr>
          <w:rFonts w:ascii="Times New Roman" w:hAnsi="Times New Roman"/>
          <w:b w:val="0"/>
          <w:i w:val="0"/>
          <w:sz w:val="22"/>
        </w:rPr>
        <w:t>Neuquén, ___ de _______________ de 2026</w:t>
      </w:r>
    </w:p>
    <w:sectPr w:rsidR="00FC693F" w:rsidRPr="0006063C" w:rsidSect="00034616">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