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Universidad Nacional del Comahue</w:t>
      </w:r>
    </w:p>
    <w:p>
      <w:pPr>
        <w:jc w:val="center"/>
      </w:pPr>
      <w:r>
        <w:rPr>
          <w:rFonts w:ascii="Times New Roman" w:hAnsi="Times New Roman"/>
          <w:b/>
          <w:i w:val="0"/>
          <w:sz w:val="28"/>
        </w:rPr>
        <w:t>Facultad de Ingeniería</w:t>
      </w:r>
    </w:p>
    <w:p>
      <w:pPr>
        <w:jc w:val="center"/>
      </w:pPr>
      <w:r>
        <w:rPr>
          <w:rFonts w:ascii="Times New Roman" w:hAnsi="Times New Roman"/>
          <w:b w:val="0"/>
          <w:i w:val="0"/>
          <w:sz w:val="24"/>
        </w:rPr>
        <w:t>Departamento de Geología y Petróleo</w:t>
      </w:r>
    </w:p>
    <w:p/>
    <w:p/>
    <w:p>
      <w:pPr>
        <w:jc w:val="center"/>
      </w:pPr>
      <w:r>
        <w:rPr>
          <w:rFonts w:ascii="Times New Roman" w:hAnsi="Times New Roman"/>
          <w:b/>
          <w:i w:val="0"/>
          <w:sz w:val="26"/>
        </w:rPr>
        <w:t>Plan Proyecto Integrador Profesional:</w:t>
      </w:r>
    </w:p>
    <w:p/>
    <w:p>
      <w:pPr>
        <w:jc w:val="center"/>
      </w:pPr>
      <w:r>
        <w:rPr>
          <w:rFonts w:ascii="Times New Roman" w:hAnsi="Times New Roman"/>
          <w:b/>
          <w:i/>
          <w:sz w:val="28"/>
        </w:rPr>
        <w:t>"Desarrollo de un Sistema Automatizado de Selección y Diseño de Bombeo Electrosumergible (BES) Mediante Programación en Python"</w:t>
      </w:r>
    </w:p>
    <w:p/>
    <w:p/>
    <w:p/>
    <w:p>
      <w:pPr>
        <w:jc w:val="center"/>
      </w:pPr>
      <w:r>
        <w:rPr>
          <w:rFonts w:ascii="Times New Roman" w:hAnsi="Times New Roman"/>
          <w:b w:val="0"/>
          <w:i w:val="0"/>
          <w:sz w:val="24"/>
        </w:rPr>
        <w:t>Autor: Pablo Tejerina</w:t>
      </w:r>
    </w:p>
    <w:p>
      <w:pPr>
        <w:jc w:val="center"/>
      </w:pPr>
      <w:r>
        <w:rPr>
          <w:rFonts w:ascii="Times New Roman" w:hAnsi="Times New Roman"/>
          <w:b w:val="0"/>
          <w:i w:val="0"/>
          <w:sz w:val="24"/>
        </w:rPr>
        <w:t>Legajo: ING-9659</w:t>
      </w:r>
    </w:p>
    <w:p/>
    <w:p>
      <w:pPr>
        <w:jc w:val="center"/>
      </w:pPr>
      <w:r>
        <w:rPr>
          <w:rFonts w:ascii="Times New Roman" w:hAnsi="Times New Roman"/>
          <w:b w:val="0"/>
          <w:i w:val="0"/>
          <w:sz w:val="24"/>
        </w:rPr>
        <w:t>Tutores: Ing. Esteban Gonzales — Ing. Yesica Jara</w:t>
      </w:r>
    </w:p>
    <w:p/>
    <w:p/>
    <w:p/>
    <w:p/>
    <w:p/>
    <w:p/>
    <w:p>
      <w:pPr>
        <w:jc w:val="center"/>
      </w:pPr>
      <w:r>
        <w:rPr>
          <w:rFonts w:ascii="Times New Roman" w:hAnsi="Times New Roman"/>
          <w:b/>
          <w:i w:val="0"/>
          <w:sz w:val="24"/>
        </w:rPr>
        <w:t>Neuquén, Argentina — 2026</w:t>
      </w:r>
    </w:p>
    <w:p>
      <w:r>
        <w:br w:type="page"/>
      </w:r>
    </w:p>
    <w:p>
      <w:pPr>
        <w:pStyle w:val="Heading1"/>
      </w:pPr>
      <w:r>
        <w:rPr>
          <w:rFonts w:ascii="Times New Roman" w:hAnsi="Times New Roman"/>
          <w:sz w:val="32"/>
        </w:rPr>
        <w:t>DEDICATORIA</w:t>
      </w:r>
    </w:p>
    <w:p>
      <w:pPr>
        <w:spacing w:line="360" w:lineRule="auto" w:after="120"/>
        <w:ind w:firstLine="709"/>
        <w:jc w:val="both"/>
      </w:pPr>
      <w:r>
        <w:rPr>
          <w:rFonts w:ascii="Times New Roman" w:hAnsi="Times New Roman"/>
          <w:sz w:val="24"/>
        </w:rPr>
        <w:t>A mi familia, por el sostén incondicional durante toda la carrera. A mis compañeros de cursada, con quienes compartí horas de estudio y de laboratorio. A los docentes de la Facultad de Ingeniería de la Universidad Nacional del Comahue, en especial al Departamento de Geología y Petróleo, por la formación técnica rigurosa que dio sustento a este trabajo.</w:t>
      </w:r>
    </w:p>
    <w:p>
      <w:r>
        <w:br w:type="page"/>
      </w:r>
    </w:p>
    <w:p>
      <w:pPr>
        <w:pStyle w:val="Heading1"/>
      </w:pPr>
      <w:r>
        <w:rPr>
          <w:rFonts w:ascii="Times New Roman" w:hAnsi="Times New Roman"/>
          <w:sz w:val="32"/>
        </w:rPr>
        <w:t>AGRADECIMIENTOS</w:t>
      </w:r>
    </w:p>
    <w:p>
      <w:pPr>
        <w:spacing w:line="360" w:lineRule="auto" w:after="120"/>
        <w:ind w:firstLine="709"/>
        <w:jc w:val="both"/>
      </w:pPr>
      <w:r>
        <w:rPr>
          <w:rFonts w:ascii="Times New Roman" w:hAnsi="Times New Roman"/>
          <w:sz w:val="24"/>
        </w:rPr>
        <w:t>Quiero expresar mi agradecimiento a mis tutores, el Ing. Esteban Gonzales y la Ing. Yesica Jara, por la orientación técnica y metodológica brindada a lo largo del desarrollo de este Proyecto Integrador Profesional. Sus aportes resultaron determinantes para precisar el alcance del trabajo y garantizar el rigor de las correlaciones implementadas.</w:t>
      </w:r>
    </w:p>
    <w:p>
      <w:pPr>
        <w:spacing w:line="360" w:lineRule="auto" w:after="120"/>
        <w:ind w:firstLine="709"/>
        <w:jc w:val="both"/>
      </w:pPr>
      <w:r>
        <w:rPr>
          <w:rFonts w:ascii="Times New Roman" w:hAnsi="Times New Roman"/>
          <w:sz w:val="24"/>
        </w:rPr>
        <w:t>A la Universidad Nacional del Comahue y a la Facultad de Ingeniería, por proveer el marco académico y el acceso a la bibliografía técnica especializada — fundamentalmente las obras de Brown (1984), Takacs (2009) y la monografía SPE de Brill y Mukherjee (1999) — que constituye la base teórica de esta tesis.</w:t>
      </w:r>
    </w:p>
    <w:p>
      <w:pPr>
        <w:spacing w:line="360" w:lineRule="auto" w:after="120"/>
        <w:ind w:firstLine="709"/>
        <w:jc w:val="both"/>
      </w:pPr>
      <w:r>
        <w:rPr>
          <w:rFonts w:ascii="Times New Roman" w:hAnsi="Times New Roman"/>
          <w:sz w:val="24"/>
        </w:rPr>
        <w:t>Al personal técnico de operadoras de la cuenca Neuquina que aportó retroalimentación operacional informal sobre la aplicabilidad del software desarrollado en pozos reales del yacimiento.</w:t>
      </w:r>
    </w:p>
    <w:p>
      <w:r>
        <w:br w:type="page"/>
      </w:r>
    </w:p>
    <w:p>
      <w:pPr>
        <w:pStyle w:val="Heading1"/>
      </w:pPr>
      <w:r>
        <w:rPr>
          <w:rFonts w:ascii="Times New Roman" w:hAnsi="Times New Roman"/>
          <w:sz w:val="32"/>
        </w:rPr>
        <w:t>RESUMEN</w:t>
      </w:r>
    </w:p>
    <w:p>
      <w:pPr>
        <w:spacing w:line="360" w:lineRule="auto" w:after="120"/>
        <w:ind w:firstLine="709"/>
        <w:jc w:val="both"/>
      </w:pPr>
      <w:r>
        <w:rPr>
          <w:rFonts w:ascii="Times New Roman" w:hAnsi="Times New Roman"/>
          <w:sz w:val="24"/>
        </w:rPr>
        <w:t>El presente trabajo describe el desarrollo de una herramienta de software, denominada BES Designer, para el diseño, dimensionamiento y selección automatizada de sistemas de Bombeo Electrosumergible (BES). La herramienta implementa íntegramente la metodología de diseño propuesta por Brown (1984) en su obra The Technology of Artificial Lift Methods, volumen 2b, capítulo 4.5, complementada con el análisis nodal del volumen 4 (Brown, 1984; Mach, Proaño y Brown, 1979).</w:t>
      </w:r>
    </w:p>
    <w:p>
      <w:pPr>
        <w:spacing w:line="360" w:lineRule="auto" w:after="120"/>
        <w:ind w:firstLine="709"/>
        <w:jc w:val="both"/>
      </w:pPr>
      <w:r>
        <w:rPr>
          <w:rFonts w:ascii="Times New Roman" w:hAnsi="Times New Roman"/>
          <w:sz w:val="24"/>
        </w:rPr>
        <w:t>El objetivo principal consiste en automatizar el procedimiento de once pasos descripto por Brown (1984, §4.5327), integrando en un mismo flujo de cálculo: la curva IPR del pozo (Vogel, 1968; Fetkovich, 1973; Standing, 1970), las propiedades PVT del fluido producido (Standing, 1947; Dranchuk y Abou-Kassem, 1975), el perfil de presión multifásico (Hagedorn y Brown, 1965; Beggs y Brill, 1973), el cálculo del Total Dynamic Head (TDH), la selección de la bomba y el número de etapas, el dimensionamiento eléctrico y el análisis del manejo de gas (Lea y Bearden, 1982; Pessoa y Prado, 2003).</w:t>
      </w:r>
    </w:p>
    <w:p>
      <w:pPr>
        <w:spacing w:line="360" w:lineRule="auto" w:after="120"/>
        <w:ind w:firstLine="709"/>
        <w:jc w:val="both"/>
      </w:pPr>
      <w:r>
        <w:rPr>
          <w:rFonts w:ascii="Times New Roman" w:hAnsi="Times New Roman"/>
          <w:sz w:val="24"/>
        </w:rPr>
        <w:t>La herramienta se desarrolló en Python 3.14 con interfaz Streamlit, e incorpora catálogos digitalizados de los principales fabricantes (Baker Hughes Centrilift, 2008; Schlumberger Reda, 2015). La validación contra los Ejemplos 1A, 2A, 2B y 3 del libro de Brown (1984) arrojó errores relativos inferiores al 5 % en TDH, número de etapas y potencia del motor (Brill y Mukherjee, 1999). Adicionalmente, se incorporó un motor de recomendación multicriterio que pondera eficiencia (40 %), flexibilidad (30 %) y costo (30 %), siguiendo las prácticas de Takacs (2009).</w:t>
      </w:r>
    </w:p>
    <w:p>
      <w:pPr>
        <w:spacing w:line="360" w:lineRule="auto" w:after="120"/>
        <w:ind w:firstLine="709"/>
        <w:jc w:val="both"/>
      </w:pPr>
      <w:r>
        <w:rPr>
          <w:rFonts w:ascii="Times New Roman" w:hAnsi="Times New Roman"/>
          <w:sz w:val="24"/>
        </w:rPr>
        <w:t>Los resultados permiten concluir que la herramienta constituye un instrumento técnico válido para asistir al ingeniero de producción en la fase de diseño preliminar de sistemas BES, reduciendo los tiempos de cálculo y eliminando errores aritméticos típicos del método manual. La automatización propuesta no reemplaza el criterio ingenieril, sino que lo potencia mediante la rápida exploración de alternativas de diseño y análisis de sensibilidad (Economides, Hill, Ehlig-Economides y Zhu, 2013).</w:t>
      </w:r>
    </w:p>
    <w:p>
      <w:pPr>
        <w:spacing w:line="360" w:lineRule="auto" w:after="120"/>
        <w:ind w:firstLine="709"/>
        <w:jc w:val="both"/>
      </w:pPr>
      <w:r>
        <w:rPr>
          <w:rFonts w:ascii="Times New Roman" w:hAnsi="Times New Roman"/>
          <w:sz w:val="24"/>
        </w:rPr>
        <w:t>Palabras clave: Bombeo Electrosumergible, ESP, levantamiento artificial, análisis nodal, IPR, TDH, automatización, Python, cuenca Neuquina, Vaca Muerta.</w:t>
      </w:r>
    </w:p>
    <w:p>
      <w:r>
        <w:br w:type="page"/>
      </w:r>
    </w:p>
    <w:p>
      <w:pPr>
        <w:pStyle w:val="Heading1"/>
      </w:pPr>
      <w:r>
        <w:rPr>
          <w:rFonts w:ascii="Times New Roman" w:hAnsi="Times New Roman"/>
          <w:sz w:val="32"/>
        </w:rPr>
        <w:t>ABSTRACT</w:t>
      </w:r>
    </w:p>
    <w:p>
      <w:pPr>
        <w:spacing w:line="360" w:lineRule="auto" w:after="120"/>
        <w:ind w:firstLine="709"/>
        <w:jc w:val="both"/>
      </w:pPr>
      <w:r>
        <w:rPr>
          <w:rFonts w:ascii="Times New Roman" w:hAnsi="Times New Roman"/>
          <w:sz w:val="24"/>
        </w:rPr>
        <w:t>This work describes the development of a software tool, named BES Designer, for the automated design, sizing and selection of Electric Submersible Pumping (ESP) systems. The tool fully implements the design methodology proposed by Brown (1984), complemented by the nodal analysis approach of Mach, Proaño and Brown (1979).</w:t>
      </w:r>
    </w:p>
    <w:p>
      <w:pPr>
        <w:spacing w:line="360" w:lineRule="auto" w:after="120"/>
        <w:ind w:firstLine="709"/>
        <w:jc w:val="both"/>
      </w:pPr>
      <w:r>
        <w:rPr>
          <w:rFonts w:ascii="Times New Roman" w:hAnsi="Times New Roman"/>
          <w:sz w:val="24"/>
        </w:rPr>
        <w:t>The main goal is to automate the eleven-step procedure described by Brown (1984, §4.5327), integrating the IPR curve (Vogel, 1968; Fetkovich, 1973), PVT properties (Standing, 1947; Dranchuk and Abou-Kassem, 1975), multiphase pressure profile (Hagedorn and Brown, 1965; Beggs and Brill, 1973), TDH computation, pump and stage-count selection, electrical sizing, and gas-handling analysis (Lea and Bearden, 1982; Pessoa and Prado, 2003).</w:t>
      </w:r>
    </w:p>
    <w:p>
      <w:pPr>
        <w:spacing w:line="360" w:lineRule="auto" w:after="120"/>
        <w:ind w:firstLine="709"/>
        <w:jc w:val="both"/>
      </w:pPr>
      <w:r>
        <w:rPr>
          <w:rFonts w:ascii="Times New Roman" w:hAnsi="Times New Roman"/>
          <w:sz w:val="24"/>
        </w:rPr>
        <w:t>The tool was developed in Python 3.14 with Streamlit, incorporating digitized catalogs from major manufacturers (Baker Hughes Centrilift, 2008; Schlumberger Reda, 2015). Validation against Brown's Examples 1A, 2A, 2B and 3 yielded relative errors below 5 % in TDH, stage count and motor horsepower (Brill and Mukherjee, 1999).</w:t>
      </w:r>
    </w:p>
    <w:p>
      <w:pPr>
        <w:spacing w:line="360" w:lineRule="auto" w:after="120"/>
        <w:ind w:firstLine="709"/>
        <w:jc w:val="both"/>
      </w:pPr>
      <w:r>
        <w:rPr>
          <w:rFonts w:ascii="Times New Roman" w:hAnsi="Times New Roman"/>
          <w:sz w:val="24"/>
        </w:rPr>
        <w:t>Results show that the tool is a valid technical instrument to assist the production engineer in the preliminary design phase of ESP systems, significantly reducing calculation time and eliminating arithmetic errors typical of the traditional manual method (Economides et al., 2013).</w:t>
      </w:r>
    </w:p>
    <w:p>
      <w:pPr>
        <w:spacing w:line="360" w:lineRule="auto" w:after="120"/>
        <w:ind w:firstLine="709"/>
        <w:jc w:val="both"/>
      </w:pPr>
      <w:r>
        <w:rPr>
          <w:rFonts w:ascii="Times New Roman" w:hAnsi="Times New Roman"/>
          <w:sz w:val="24"/>
        </w:rPr>
        <w:t>Keywords: Electric Submersible Pumping, ESP, artificial lift, nodal analysis, IPR, TDH, automation, Python, Neuquén Basin, Vaca Muerta.</w:t>
      </w:r>
    </w:p>
    <w:p>
      <w:r>
        <w:br w:type="page"/>
      </w:r>
    </w:p>
    <w:p>
      <w:pPr>
        <w:pStyle w:val="Heading1"/>
      </w:pPr>
      <w:r>
        <w:rPr>
          <w:rFonts w:ascii="Times New Roman" w:hAnsi="Times New Roman"/>
          <w:sz w:val="32"/>
        </w:rPr>
        <w:t>SIMBOLOGÍA</w:t>
      </w:r>
    </w:p>
    <w:p>
      <w:pPr>
        <w:spacing w:line="276" w:lineRule="auto" w:after="40"/>
      </w:pPr>
      <w:r>
        <w:rPr>
          <w:rFonts w:ascii="Times New Roman" w:hAnsi="Times New Roman"/>
          <w:b/>
          <w:sz w:val="22"/>
        </w:rPr>
        <w:t>AOF</w:t>
      </w:r>
      <w:r>
        <w:rPr>
          <w:rFonts w:ascii="Times New Roman" w:hAnsi="Times New Roman"/>
          <w:sz w:val="22"/>
        </w:rPr>
        <w:t>:  Absolute Open Flow potential — caudal a Pwf = 0 [STB/d]</w:t>
      </w:r>
    </w:p>
    <w:p>
      <w:pPr>
        <w:spacing w:line="276" w:lineRule="auto" w:after="40"/>
      </w:pPr>
      <w:r>
        <w:rPr>
          <w:rFonts w:ascii="Times New Roman" w:hAnsi="Times New Roman"/>
          <w:b/>
          <w:sz w:val="22"/>
        </w:rPr>
        <w:t>BEP</w:t>
      </w:r>
      <w:r>
        <w:rPr>
          <w:rFonts w:ascii="Times New Roman" w:hAnsi="Times New Roman"/>
          <w:sz w:val="22"/>
        </w:rPr>
        <w:t>:  Best Efficiency Point — punto de máxima eficiencia de la bomba</w:t>
      </w:r>
    </w:p>
    <w:p>
      <w:pPr>
        <w:spacing w:line="276" w:lineRule="auto" w:after="40"/>
      </w:pPr>
      <w:r>
        <w:rPr>
          <w:rFonts w:ascii="Times New Roman" w:hAnsi="Times New Roman"/>
          <w:b/>
          <w:sz w:val="22"/>
        </w:rPr>
        <w:t>BES</w:t>
      </w:r>
      <w:r>
        <w:rPr>
          <w:rFonts w:ascii="Times New Roman" w:hAnsi="Times New Roman"/>
          <w:sz w:val="22"/>
        </w:rPr>
        <w:t>:  Bombeo Electrosumergible (Electric Submersible Pumping)</w:t>
      </w:r>
    </w:p>
    <w:p>
      <w:pPr>
        <w:spacing w:line="276" w:lineRule="auto" w:after="40"/>
      </w:pPr>
      <w:r>
        <w:rPr>
          <w:rFonts w:ascii="Times New Roman" w:hAnsi="Times New Roman"/>
          <w:b/>
          <w:sz w:val="22"/>
        </w:rPr>
        <w:t>Bg</w:t>
      </w:r>
      <w:r>
        <w:rPr>
          <w:rFonts w:ascii="Times New Roman" w:hAnsi="Times New Roman"/>
          <w:sz w:val="22"/>
        </w:rPr>
        <w:t>:  Factor volumétrico del gas [rb/scf]</w:t>
      </w:r>
    </w:p>
    <w:p>
      <w:pPr>
        <w:spacing w:line="276" w:lineRule="auto" w:after="40"/>
      </w:pPr>
      <w:r>
        <w:rPr>
          <w:rFonts w:ascii="Times New Roman" w:hAnsi="Times New Roman"/>
          <w:b/>
          <w:sz w:val="22"/>
        </w:rPr>
        <w:t>Bo</w:t>
      </w:r>
      <w:r>
        <w:rPr>
          <w:rFonts w:ascii="Times New Roman" w:hAnsi="Times New Roman"/>
          <w:sz w:val="22"/>
        </w:rPr>
        <w:t>:  Factor volumétrico del petróleo [rb/STB]</w:t>
      </w:r>
    </w:p>
    <w:p>
      <w:pPr>
        <w:spacing w:line="276" w:lineRule="auto" w:after="40"/>
      </w:pPr>
      <w:r>
        <w:rPr>
          <w:rFonts w:ascii="Times New Roman" w:hAnsi="Times New Roman"/>
          <w:b/>
          <w:sz w:val="22"/>
        </w:rPr>
        <w:t>Bw</w:t>
      </w:r>
      <w:r>
        <w:rPr>
          <w:rFonts w:ascii="Times New Roman" w:hAnsi="Times New Roman"/>
          <w:sz w:val="22"/>
        </w:rPr>
        <w:t>:  Factor volumétrico del agua [rb/STB]</w:t>
      </w:r>
    </w:p>
    <w:p>
      <w:pPr>
        <w:spacing w:line="276" w:lineRule="auto" w:after="40"/>
      </w:pPr>
      <w:r>
        <w:rPr>
          <w:rFonts w:ascii="Times New Roman" w:hAnsi="Times New Roman"/>
          <w:b/>
          <w:sz w:val="22"/>
        </w:rPr>
        <w:t>C</w:t>
      </w:r>
      <w:r>
        <w:rPr>
          <w:rFonts w:ascii="Times New Roman" w:hAnsi="Times New Roman"/>
          <w:sz w:val="22"/>
        </w:rPr>
        <w:t>:  Coeficiente de Hazen-Williams (120 para acero usado)</w:t>
      </w:r>
    </w:p>
    <w:p>
      <w:pPr>
        <w:spacing w:line="276" w:lineRule="auto" w:after="40"/>
      </w:pPr>
      <w:r>
        <w:rPr>
          <w:rFonts w:ascii="Times New Roman" w:hAnsi="Times New Roman"/>
          <w:b/>
          <w:sz w:val="22"/>
        </w:rPr>
        <w:t>d</w:t>
      </w:r>
      <w:r>
        <w:rPr>
          <w:rFonts w:ascii="Times New Roman" w:hAnsi="Times New Roman"/>
          <w:sz w:val="22"/>
        </w:rPr>
        <w:t>:  Diámetro interno de la tubería [in]</w:t>
      </w:r>
    </w:p>
    <w:p>
      <w:pPr>
        <w:spacing w:line="276" w:lineRule="auto" w:after="40"/>
      </w:pPr>
      <w:r>
        <w:rPr>
          <w:rFonts w:ascii="Times New Roman" w:hAnsi="Times New Roman"/>
          <w:b/>
          <w:sz w:val="22"/>
        </w:rPr>
        <w:t>GIP</w:t>
      </w:r>
      <w:r>
        <w:rPr>
          <w:rFonts w:ascii="Times New Roman" w:hAnsi="Times New Roman"/>
          <w:sz w:val="22"/>
        </w:rPr>
        <w:t>:  Gas Ingestion Percentage — porcentaje volumétrico de gas en la entrada de bomba</w:t>
      </w:r>
    </w:p>
    <w:p>
      <w:pPr>
        <w:spacing w:line="276" w:lineRule="auto" w:after="40"/>
      </w:pPr>
      <w:r>
        <w:rPr>
          <w:rFonts w:ascii="Times New Roman" w:hAnsi="Times New Roman"/>
          <w:b/>
          <w:sz w:val="22"/>
        </w:rPr>
        <w:t>GLF</w:t>
      </w:r>
      <w:r>
        <w:rPr>
          <w:rFonts w:ascii="Times New Roman" w:hAnsi="Times New Roman"/>
          <w:sz w:val="22"/>
        </w:rPr>
        <w:t>:  Gas Lock Factor — factor de bloqueo por gas (Brown, 1984)</w:t>
      </w:r>
    </w:p>
    <w:p>
      <w:pPr>
        <w:spacing w:line="276" w:lineRule="auto" w:after="40"/>
      </w:pPr>
      <w:r>
        <w:rPr>
          <w:rFonts w:ascii="Times New Roman" w:hAnsi="Times New Roman"/>
          <w:b/>
          <w:sz w:val="22"/>
        </w:rPr>
        <w:t>GOR</w:t>
      </w:r>
      <w:r>
        <w:rPr>
          <w:rFonts w:ascii="Times New Roman" w:hAnsi="Times New Roman"/>
          <w:sz w:val="22"/>
        </w:rPr>
        <w:t>:  Relación gas-petróleo en superficie [scf/STB]</w:t>
      </w:r>
    </w:p>
    <w:p>
      <w:pPr>
        <w:spacing w:line="276" w:lineRule="auto" w:after="40"/>
      </w:pPr>
      <w:r>
        <w:rPr>
          <w:rFonts w:ascii="Times New Roman" w:hAnsi="Times New Roman"/>
          <w:b/>
          <w:sz w:val="22"/>
        </w:rPr>
        <w:t>HP</w:t>
      </w:r>
      <w:r>
        <w:rPr>
          <w:rFonts w:ascii="Times New Roman" w:hAnsi="Times New Roman"/>
          <w:sz w:val="22"/>
        </w:rPr>
        <w:t>:  Caballos de fuerza / Horsepower [hp]</w:t>
      </w:r>
    </w:p>
    <w:p>
      <w:pPr>
        <w:spacing w:line="276" w:lineRule="auto" w:after="40"/>
      </w:pPr>
      <w:r>
        <w:rPr>
          <w:rFonts w:ascii="Times New Roman" w:hAnsi="Times New Roman"/>
          <w:b/>
          <w:sz w:val="22"/>
        </w:rPr>
        <w:t>H_L</w:t>
      </w:r>
      <w:r>
        <w:rPr>
          <w:rFonts w:ascii="Times New Roman" w:hAnsi="Times New Roman"/>
          <w:sz w:val="22"/>
        </w:rPr>
        <w:t>:  Holdup líquido (fracción del volumen ocupado por la fase líquida)</w:t>
      </w:r>
    </w:p>
    <w:p>
      <w:pPr>
        <w:spacing w:line="276" w:lineRule="auto" w:after="40"/>
      </w:pPr>
      <w:r>
        <w:rPr>
          <w:rFonts w:ascii="Times New Roman" w:hAnsi="Times New Roman"/>
          <w:b/>
          <w:sz w:val="22"/>
        </w:rPr>
        <w:t>IPR</w:t>
      </w:r>
      <w:r>
        <w:rPr>
          <w:rFonts w:ascii="Times New Roman" w:hAnsi="Times New Roman"/>
          <w:sz w:val="22"/>
        </w:rPr>
        <w:t>:  Inflow Performance Relationship — curva de afluencia del pozo</w:t>
      </w:r>
    </w:p>
    <w:p>
      <w:pPr>
        <w:spacing w:line="276" w:lineRule="auto" w:after="40"/>
      </w:pPr>
      <w:r>
        <w:rPr>
          <w:rFonts w:ascii="Times New Roman" w:hAnsi="Times New Roman"/>
          <w:b/>
          <w:sz w:val="22"/>
        </w:rPr>
        <w:t>J</w:t>
      </w:r>
      <w:r>
        <w:rPr>
          <w:rFonts w:ascii="Times New Roman" w:hAnsi="Times New Roman"/>
          <w:sz w:val="22"/>
        </w:rPr>
        <w:t>:  Productivity Index [STB/d/psi]</w:t>
      </w:r>
    </w:p>
    <w:p>
      <w:pPr>
        <w:spacing w:line="276" w:lineRule="auto" w:after="40"/>
      </w:pPr>
      <w:r>
        <w:rPr>
          <w:rFonts w:ascii="Times New Roman" w:hAnsi="Times New Roman"/>
          <w:b/>
          <w:sz w:val="22"/>
        </w:rPr>
        <w:t>kVA</w:t>
      </w:r>
      <w:r>
        <w:rPr>
          <w:rFonts w:ascii="Times New Roman" w:hAnsi="Times New Roman"/>
          <w:sz w:val="22"/>
        </w:rPr>
        <w:t>:  Kilovolt-amperios — potencia aparente del transformador</w:t>
      </w:r>
    </w:p>
    <w:p>
      <w:pPr>
        <w:spacing w:line="276" w:lineRule="auto" w:after="40"/>
      </w:pPr>
      <w:r>
        <w:rPr>
          <w:rFonts w:ascii="Times New Roman" w:hAnsi="Times New Roman"/>
          <w:b/>
          <w:sz w:val="22"/>
        </w:rPr>
        <w:t>P̄_R</w:t>
      </w:r>
      <w:r>
        <w:rPr>
          <w:rFonts w:ascii="Times New Roman" w:hAnsi="Times New Roman"/>
          <w:sz w:val="22"/>
        </w:rPr>
        <w:t>:  Presión estática promedio del reservorio [psia]</w:t>
      </w:r>
    </w:p>
    <w:p>
      <w:pPr>
        <w:spacing w:line="276" w:lineRule="auto" w:after="40"/>
      </w:pPr>
      <w:r>
        <w:rPr>
          <w:rFonts w:ascii="Times New Roman" w:hAnsi="Times New Roman"/>
          <w:b/>
          <w:sz w:val="22"/>
        </w:rPr>
        <w:t>P_b</w:t>
      </w:r>
      <w:r>
        <w:rPr>
          <w:rFonts w:ascii="Times New Roman" w:hAnsi="Times New Roman"/>
          <w:sz w:val="22"/>
        </w:rPr>
        <w:t>:  Presión de burbuja (bubble point) [psia]</w:t>
      </w:r>
    </w:p>
    <w:p>
      <w:pPr>
        <w:spacing w:line="276" w:lineRule="auto" w:after="40"/>
      </w:pPr>
      <w:r>
        <w:rPr>
          <w:rFonts w:ascii="Times New Roman" w:hAnsi="Times New Roman"/>
          <w:b/>
          <w:sz w:val="22"/>
        </w:rPr>
        <w:t>PIP</w:t>
      </w:r>
      <w:r>
        <w:rPr>
          <w:rFonts w:ascii="Times New Roman" w:hAnsi="Times New Roman"/>
          <w:sz w:val="22"/>
        </w:rPr>
        <w:t>:  Pump Intake Pressure — presión a la entrada de la bomba [psia]</w:t>
      </w:r>
    </w:p>
    <w:p>
      <w:pPr>
        <w:spacing w:line="276" w:lineRule="auto" w:after="40"/>
      </w:pPr>
      <w:r>
        <w:rPr>
          <w:rFonts w:ascii="Times New Roman" w:hAnsi="Times New Roman"/>
          <w:b/>
          <w:sz w:val="22"/>
        </w:rPr>
        <w:t>P_wf</w:t>
      </w:r>
      <w:r>
        <w:rPr>
          <w:rFonts w:ascii="Times New Roman" w:hAnsi="Times New Roman"/>
          <w:sz w:val="22"/>
        </w:rPr>
        <w:t>:  Presión de fondo fluyente [psia]</w:t>
      </w:r>
    </w:p>
    <w:p>
      <w:pPr>
        <w:spacing w:line="276" w:lineRule="auto" w:after="40"/>
      </w:pPr>
      <w:r>
        <w:rPr>
          <w:rFonts w:ascii="Times New Roman" w:hAnsi="Times New Roman"/>
          <w:b/>
          <w:sz w:val="22"/>
        </w:rPr>
        <w:t>P_wh</w:t>
      </w:r>
      <w:r>
        <w:rPr>
          <w:rFonts w:ascii="Times New Roman" w:hAnsi="Times New Roman"/>
          <w:sz w:val="22"/>
        </w:rPr>
        <w:t>:  Presión de cabeza de pozo (wellhead pressure) [psia]</w:t>
      </w:r>
    </w:p>
    <w:p>
      <w:pPr>
        <w:spacing w:line="276" w:lineRule="auto" w:after="40"/>
      </w:pPr>
      <w:r>
        <w:rPr>
          <w:rFonts w:ascii="Times New Roman" w:hAnsi="Times New Roman"/>
          <w:b/>
          <w:sz w:val="22"/>
        </w:rPr>
        <w:t>q</w:t>
      </w:r>
      <w:r>
        <w:rPr>
          <w:rFonts w:ascii="Times New Roman" w:hAnsi="Times New Roman"/>
          <w:sz w:val="22"/>
        </w:rPr>
        <w:t>:  Caudal de producción en superficie [STB/d]</w:t>
      </w:r>
    </w:p>
    <w:p>
      <w:pPr>
        <w:spacing w:line="276" w:lineRule="auto" w:after="40"/>
      </w:pPr>
      <w:r>
        <w:rPr>
          <w:rFonts w:ascii="Times New Roman" w:hAnsi="Times New Roman"/>
          <w:b/>
          <w:sz w:val="22"/>
        </w:rPr>
        <w:t>Rs</w:t>
      </w:r>
      <w:r>
        <w:rPr>
          <w:rFonts w:ascii="Times New Roman" w:hAnsi="Times New Roman"/>
          <w:sz w:val="22"/>
        </w:rPr>
        <w:t>:  Solution Gas-Oil Ratio [scf/STB]</w:t>
      </w:r>
    </w:p>
    <w:p>
      <w:pPr>
        <w:spacing w:line="276" w:lineRule="auto" w:after="40"/>
      </w:pPr>
      <w:r>
        <w:rPr>
          <w:rFonts w:ascii="Times New Roman" w:hAnsi="Times New Roman"/>
          <w:b/>
          <w:sz w:val="22"/>
        </w:rPr>
        <w:t>SG / γ</w:t>
      </w:r>
      <w:r>
        <w:rPr>
          <w:rFonts w:ascii="Times New Roman" w:hAnsi="Times New Roman"/>
          <w:sz w:val="22"/>
        </w:rPr>
        <w:t>:  Specific Gravity — gravedad específica (agua = 1.0)</w:t>
      </w:r>
    </w:p>
    <w:p>
      <w:pPr>
        <w:spacing w:line="276" w:lineRule="auto" w:after="40"/>
      </w:pPr>
      <w:r>
        <w:rPr>
          <w:rFonts w:ascii="Times New Roman" w:hAnsi="Times New Roman"/>
          <w:b/>
          <w:sz w:val="22"/>
        </w:rPr>
        <w:t>TDH</w:t>
      </w:r>
      <w:r>
        <w:rPr>
          <w:rFonts w:ascii="Times New Roman" w:hAnsi="Times New Roman"/>
          <w:sz w:val="22"/>
        </w:rPr>
        <w:t>:  Total Dynamic Head — carga total dinámica [ft]</w:t>
      </w:r>
    </w:p>
    <w:p>
      <w:pPr>
        <w:spacing w:line="276" w:lineRule="auto" w:after="40"/>
      </w:pPr>
      <w:r>
        <w:rPr>
          <w:rFonts w:ascii="Times New Roman" w:hAnsi="Times New Roman"/>
          <w:b/>
          <w:sz w:val="22"/>
        </w:rPr>
        <w:t>V_s</w:t>
      </w:r>
      <w:r>
        <w:rPr>
          <w:rFonts w:ascii="Times New Roman" w:hAnsi="Times New Roman"/>
          <w:sz w:val="22"/>
        </w:rPr>
        <w:t>:  Voltaje requerido en superficie [V]</w:t>
      </w:r>
    </w:p>
    <w:p>
      <w:pPr>
        <w:spacing w:line="276" w:lineRule="auto" w:after="40"/>
      </w:pPr>
      <w:r>
        <w:rPr>
          <w:rFonts w:ascii="Times New Roman" w:hAnsi="Times New Roman"/>
          <w:b/>
          <w:sz w:val="22"/>
        </w:rPr>
        <w:t>VSD</w:t>
      </w:r>
      <w:r>
        <w:rPr>
          <w:rFonts w:ascii="Times New Roman" w:hAnsi="Times New Roman"/>
          <w:sz w:val="22"/>
        </w:rPr>
        <w:t>:  Variable Speed Drive — variador de frecuencia</w:t>
      </w:r>
    </w:p>
    <w:p>
      <w:pPr>
        <w:spacing w:line="276" w:lineRule="auto" w:after="40"/>
      </w:pPr>
      <w:r>
        <w:rPr>
          <w:rFonts w:ascii="Times New Roman" w:hAnsi="Times New Roman"/>
          <w:b/>
          <w:sz w:val="22"/>
        </w:rPr>
        <w:t>Z</w:t>
      </w:r>
      <w:r>
        <w:rPr>
          <w:rFonts w:ascii="Times New Roman" w:hAnsi="Times New Roman"/>
          <w:sz w:val="22"/>
        </w:rPr>
        <w:t>:  Factor de compresibilidad del gas [adim.]</w:t>
      </w:r>
    </w:p>
    <w:p>
      <w:pPr>
        <w:spacing w:line="276" w:lineRule="auto" w:after="40"/>
      </w:pPr>
      <w:r>
        <w:rPr>
          <w:rFonts w:ascii="Times New Roman" w:hAnsi="Times New Roman"/>
          <w:b/>
          <w:sz w:val="22"/>
        </w:rPr>
        <w:t>ρ_m</w:t>
      </w:r>
      <w:r>
        <w:rPr>
          <w:rFonts w:ascii="Times New Roman" w:hAnsi="Times New Roman"/>
          <w:sz w:val="22"/>
        </w:rPr>
        <w:t>:  Densidad de la mezcla multifásica [lb/ft³]</w:t>
      </w:r>
    </w:p>
    <w:p>
      <w:pPr>
        <w:spacing w:line="276" w:lineRule="auto" w:after="40"/>
      </w:pPr>
      <w:r>
        <w:rPr>
          <w:rFonts w:ascii="Times New Roman" w:hAnsi="Times New Roman"/>
          <w:b/>
          <w:sz w:val="22"/>
        </w:rPr>
        <w:t>μ_o</w:t>
      </w:r>
      <w:r>
        <w:rPr>
          <w:rFonts w:ascii="Times New Roman" w:hAnsi="Times New Roman"/>
          <w:sz w:val="22"/>
        </w:rPr>
        <w:t>:  Viscosidad del petróleo vivo [cp]</w:t>
      </w:r>
    </w:p>
    <w:p>
      <w:r>
        <w:br w:type="page"/>
      </w:r>
    </w:p>
    <w:p>
      <w:pPr>
        <w:pStyle w:val="Heading1"/>
      </w:pPr>
      <w:r>
        <w:rPr>
          <w:rFonts w:ascii="Times New Roman" w:hAnsi="Times New Roman"/>
          <w:sz w:val="32"/>
        </w:rPr>
        <w:t>CAPÍTULO I: DEFINICIONES Y CONCEPTOS BÁSICOS</w:t>
      </w:r>
    </w:p>
    <w:p>
      <w:pPr>
        <w:pStyle w:val="Heading2"/>
      </w:pPr>
      <w:r>
        <w:rPr>
          <w:rFonts w:ascii="Times New Roman" w:hAnsi="Times New Roman"/>
          <w:sz w:val="28"/>
        </w:rPr>
        <w:t>1.1 CONCEPTO</w:t>
      </w:r>
    </w:p>
    <w:p>
      <w:pPr>
        <w:spacing w:line="360" w:lineRule="auto" w:after="120"/>
        <w:ind w:firstLine="709"/>
        <w:jc w:val="both"/>
      </w:pPr>
      <w:r>
        <w:rPr>
          <w:rFonts w:ascii="Times New Roman" w:hAnsi="Times New Roman"/>
          <w:sz w:val="24"/>
        </w:rPr>
        <w:t>El Bombeo Electrosumergible (BES), denominado Electric Submersible Pumping (ESP) en la literatura anglosajona, constituye uno de los métodos de levantamiento artificial de mayor difusión a nivel mundial, particularmente eficaz en pozos de elevado caudal, profundidades intermedias a profundas y bajo regímenes de producción que oscilan entre los 200 y los 60 000 barriles por día (Brown, 1984; Takacs, 2009).</w:t>
      </w:r>
    </w:p>
    <w:p>
      <w:pPr>
        <w:spacing w:line="360" w:lineRule="auto" w:after="120"/>
        <w:ind w:firstLine="709"/>
        <w:jc w:val="both"/>
      </w:pPr>
      <w:r>
        <w:rPr>
          <w:rFonts w:ascii="Times New Roman" w:hAnsi="Times New Roman"/>
          <w:sz w:val="24"/>
        </w:rPr>
        <w:t>A diferencia del bombeo mecánico de varillas — en el cual la energía se transmite desde superficie mediante un movimiento alternativo de la sarta — en el sistema BES la totalidad de la maquinaria de impulsión (motor, sellos y bomba) se aloja en el fondo del pozo (Economides, Hill, Ehlig-Economides y Zhu, 2013). La energía mecánica se genera in situ a partir de electricidad transmitida desde superficie a través de un cable de potencia trifásico (Guo, Lyons y Ghalambor, 2007; Baker Hughes Centrilift, 2008; Takacs, 2009).</w:t>
      </w:r>
    </w:p>
    <w:p>
      <w:pPr>
        <w:spacing w:line="360" w:lineRule="auto" w:after="120"/>
        <w:ind w:firstLine="709"/>
        <w:jc w:val="both"/>
      </w:pPr>
      <w:r>
        <w:rPr>
          <w:rFonts w:ascii="Times New Roman" w:hAnsi="Times New Roman"/>
          <w:sz w:val="24"/>
        </w:rPr>
        <w:t>De acuerdo con Takacs (2009), el sistema BES presenta tres atributos distintivos: la capacidad de movilizar caudales elevados en pozos profundos; la prácticamente nula huella superficial, lo que lo hace atractivo en locaciones urbanas, offshore y bajo restricciones ambientales severas; y la posibilidad de control remoto en tiempo real mediante variadores de frecuencia y sensores de fondo (Schlumberger Reda, 2015).</w:t>
      </w:r>
    </w:p>
    <w:p>
      <w:pPr>
        <w:spacing w:line="360" w:lineRule="auto" w:after="120"/>
        <w:ind w:firstLine="709"/>
        <w:jc w:val="both"/>
      </w:pPr>
      <w:r>
        <w:rPr>
          <w:rFonts w:ascii="Times New Roman" w:hAnsi="Times New Roman"/>
          <w:sz w:val="24"/>
        </w:rPr>
        <w:t>Sin embargo, el método exhibe limitaciones técnicas: la sensibilidad de la bomba centrífuga a la presencia de gas libre (Brown, 1984, §4.523; Lea y Bearden, 1982), la sensibilidad de los componentes electrónicos a altas temperaturas (Takacs, 2009), y la elevada inversión inicial que requiere caudales sostenidos para justificarse económicamente (Lea, Nickens y Wells, 2008).</w:t>
      </w:r>
    </w:p>
    <w:p>
      <w:pPr>
        <w:pStyle w:val="Heading2"/>
      </w:pPr>
      <w:r>
        <w:rPr>
          <w:rFonts w:ascii="Times New Roman" w:hAnsi="Times New Roman"/>
          <w:sz w:val="28"/>
        </w:rPr>
        <w:t>1.2 SISTEMA DE BOMBEO ELECTROSUMERGIBLE</w:t>
      </w:r>
    </w:p>
    <w:p>
      <w:pPr>
        <w:spacing w:line="360" w:lineRule="auto" w:after="120"/>
        <w:ind w:firstLine="709"/>
        <w:jc w:val="both"/>
      </w:pPr>
      <w:r>
        <w:rPr>
          <w:rFonts w:ascii="Times New Roman" w:hAnsi="Times New Roman"/>
          <w:sz w:val="24"/>
        </w:rPr>
        <w:t>El sistema BES está conformado por una sucesión de componentes mecánicos y eléctricos ensamblados en una unidad funcional única. Se clasifican en equipos de subsuelo (bomba, sello, motor, sensor de fondo) y equipos de superficie (cabezal, cable, VSD, transformador, switchboard) (Brown, 1984; Takacs, 2009).</w:t>
      </w:r>
    </w:p>
    <w:p>
      <w:pPr>
        <w:spacing w:line="360" w:lineRule="auto" w:after="120"/>
        <w:ind w:firstLine="709"/>
        <w:jc w:val="both"/>
      </w:pPr>
      <w:r>
        <w:rPr>
          <w:rFonts w:ascii="Times New Roman" w:hAnsi="Times New Roman"/>
          <w:sz w:val="24"/>
        </w:rPr>
        <w:t>Cada componente debe seleccionarse y dimensionarse en función de las condiciones particulares del pozo: presión y temperatura de fondo, caudal de producción objetivo, propiedades PVT del fluido, geometría del wellbore, contenido de arena, corrosividad y suministro eléctrico disponible (Brown, 1984, §4.5322; Bradley, 1987).</w:t>
      </w:r>
    </w:p>
    <w:p>
      <w:pPr>
        <w:jc w:val="center"/>
      </w:pPr>
      <w:r>
        <w:drawing>
          <wp:inline xmlns:a="http://schemas.openxmlformats.org/drawingml/2006/main" xmlns:pic="http://schemas.openxmlformats.org/drawingml/2006/picture">
            <wp:extent cx="4572000" cy="6718174"/>
            <wp:docPr id="1" name="Picture 1"/>
            <wp:cNvGraphicFramePr>
              <a:graphicFrameLocks noChangeAspect="1"/>
            </wp:cNvGraphicFramePr>
            <a:graphic>
              <a:graphicData uri="http://schemas.openxmlformats.org/drawingml/2006/picture">
                <pic:pic>
                  <pic:nvPicPr>
                    <pic:cNvPr id="0" name="fig_bes_schema.png"/>
                    <pic:cNvPicPr/>
                  </pic:nvPicPr>
                  <pic:blipFill>
                    <a:blip r:embed="rId9"/>
                    <a:stretch>
                      <a:fillRect/>
                    </a:stretch>
                  </pic:blipFill>
                  <pic:spPr>
                    <a:xfrm>
                      <a:off x="0" y="0"/>
                      <a:ext cx="4572000" cy="6718174"/>
                    </a:xfrm>
                    <a:prstGeom prst="rect"/>
                  </pic:spPr>
                </pic:pic>
              </a:graphicData>
            </a:graphic>
          </wp:inline>
        </w:drawing>
      </w:r>
    </w:p>
    <w:p>
      <w:pPr>
        <w:spacing w:after="200"/>
        <w:jc w:val="center"/>
      </w:pPr>
      <w:r>
        <w:rPr>
          <w:rFonts w:ascii="Times New Roman" w:hAnsi="Times New Roman"/>
          <w:i/>
          <w:sz w:val="20"/>
        </w:rPr>
        <w:t>Figura 1.1 — Esquema general del sistema BES con sus componentes principales (elaboración propia a partir de Brown, 1984 y Takacs, 2009).</w:t>
      </w:r>
    </w:p>
    <w:p>
      <w:pPr>
        <w:pStyle w:val="Heading2"/>
      </w:pPr>
      <w:r>
        <w:rPr>
          <w:rFonts w:ascii="Times New Roman" w:hAnsi="Times New Roman"/>
          <w:sz w:val="28"/>
        </w:rPr>
        <w:t>1.3 COMPONENTES DEL SISTEMA BES</w:t>
      </w:r>
    </w:p>
    <w:p>
      <w:pPr>
        <w:pStyle w:val="Heading3"/>
      </w:pPr>
      <w:r>
        <w:rPr>
          <w:rFonts w:ascii="Times New Roman" w:hAnsi="Times New Roman"/>
          <w:sz w:val="24"/>
        </w:rPr>
        <w:t>1.3.1 Bomba Centrífuga Multietapa</w:t>
      </w:r>
    </w:p>
    <w:p>
      <w:pPr>
        <w:spacing w:line="360" w:lineRule="auto" w:after="120"/>
        <w:ind w:firstLine="709"/>
        <w:jc w:val="both"/>
      </w:pPr>
      <w:r>
        <w:rPr>
          <w:rFonts w:ascii="Times New Roman" w:hAnsi="Times New Roman"/>
          <w:sz w:val="24"/>
        </w:rPr>
        <w:t>La bomba constituye el elemento central del sistema. Consiste en un conjunto de etapas — cada una formada por un impulsor que gira solidariamente al eje motriz y un difusor estacionario — apiladas en una carcasa cilíndrica (Takacs, 2009). El número de etapas requerido para vencer la carga total dinámica del pozo se calcula como el cociente entre el TDH y la altura desarrollada por etapa al caudal de operación (Brown, 1984, §4.5323).</w:t>
      </w:r>
    </w:p>
    <w:p>
      <w:pPr>
        <w:spacing w:line="360" w:lineRule="auto" w:after="120"/>
        <w:ind w:firstLine="709"/>
        <w:jc w:val="both"/>
      </w:pPr>
      <w:r>
        <w:rPr>
          <w:rFonts w:ascii="Times New Roman" w:hAnsi="Times New Roman"/>
          <w:sz w:val="24"/>
        </w:rPr>
        <w:t>La selección de la bomba se condiciona principalmente por el diámetro interno del casing y por el rango operativo de caudal recomendado por el fabricante (Brown, 1984; Takacs, 2009). Las series 338, 400, 513 y 540 corresponden, respectivamente, a diámetros exteriores aproximados de 3,38; 4,00; 5,13 y 5,40 pulgadas (Schlumberger Reda, 2015).</w:t>
      </w:r>
    </w:p>
    <w:p>
      <w:pPr>
        <w:spacing w:line="360" w:lineRule="auto" w:after="120"/>
        <w:ind w:firstLine="709"/>
        <w:jc w:val="both"/>
      </w:pPr>
      <w:r>
        <w:rPr>
          <w:rFonts w:ascii="Times New Roman" w:hAnsi="Times New Roman"/>
          <w:sz w:val="24"/>
        </w:rPr>
        <w:t>Las curvas de performance características de cada bomba incluyen la altura desarrollada por etapa, la potencia consumida por etapa y la eficiencia hidráulica (Sun y Prado, 2006). Estas curvas se obtienen con agua dulce a 60 Hz; para fluidos con viscosidad superior se aplican las correcciones del Hydraulic Institute (2010) en su estándar HI 9.6.7.</w:t>
      </w:r>
    </w:p>
    <w:p>
      <w:pPr>
        <w:jc w:val="center"/>
      </w:pPr>
      <w:r>
        <w:drawing>
          <wp:inline xmlns:a="http://schemas.openxmlformats.org/drawingml/2006/main" xmlns:pic="http://schemas.openxmlformats.org/drawingml/2006/picture">
            <wp:extent cx="5029200" cy="3328056"/>
            <wp:docPr id="2" name="Picture 2"/>
            <wp:cNvGraphicFramePr>
              <a:graphicFrameLocks noChangeAspect="1"/>
            </wp:cNvGraphicFramePr>
            <a:graphic>
              <a:graphicData uri="http://schemas.openxmlformats.org/drawingml/2006/picture">
                <pic:pic>
                  <pic:nvPicPr>
                    <pic:cNvPr id="0" name="fig_pump_curve.png"/>
                    <pic:cNvPicPr/>
                  </pic:nvPicPr>
                  <pic:blipFill>
                    <a:blip r:embed="rId10"/>
                    <a:stretch>
                      <a:fillRect/>
                    </a:stretch>
                  </pic:blipFill>
                  <pic:spPr>
                    <a:xfrm>
                      <a:off x="0" y="0"/>
                      <a:ext cx="5029200" cy="3328056"/>
                    </a:xfrm>
                    <a:prstGeom prst="rect"/>
                  </pic:spPr>
                </pic:pic>
              </a:graphicData>
            </a:graphic>
          </wp:inline>
        </w:drawing>
      </w:r>
    </w:p>
    <w:p>
      <w:pPr>
        <w:spacing w:after="200"/>
        <w:jc w:val="center"/>
      </w:pPr>
      <w:r>
        <w:rPr>
          <w:rFonts w:ascii="Times New Roman" w:hAnsi="Times New Roman"/>
          <w:i/>
          <w:sz w:val="20"/>
        </w:rPr>
        <w:t>Figura 1.2 — Curva de performance típica de una bomba BES (head/etapa, eficiencia, HP/etapa vs caudal), con indicación del Best Efficiency Point y del rango operativo.</w:t>
      </w:r>
    </w:p>
    <w:p>
      <w:pPr>
        <w:pStyle w:val="Heading3"/>
      </w:pPr>
      <w:r>
        <w:rPr>
          <w:rFonts w:ascii="Times New Roman" w:hAnsi="Times New Roman"/>
          <w:sz w:val="24"/>
        </w:rPr>
        <w:t>1.3.2 Sello (Protector)</w:t>
      </w:r>
    </w:p>
    <w:p>
      <w:pPr>
        <w:spacing w:line="360" w:lineRule="auto" w:after="120"/>
        <w:ind w:firstLine="709"/>
        <w:jc w:val="both"/>
      </w:pPr>
      <w:r>
        <w:rPr>
          <w:rFonts w:ascii="Times New Roman" w:hAnsi="Times New Roman"/>
          <w:sz w:val="24"/>
        </w:rPr>
        <w:t>El sello, también denominado protector, es el componente intermedio entre el motor y la bomba. Cumple cuatro funciones críticas según Takacs (2009): equilibrar la presión del aceite dieléctrico del motor con la presión del fluido del pozo; absorber la carga axial del conjunto rotor; prevenir el ingreso de fluido del pozo al motor mediante laberintos y barreras flexibles; y permitir la expansión y contracción del aceite del motor por ciclos térmicos.</w:t>
      </w:r>
    </w:p>
    <w:p>
      <w:pPr>
        <w:spacing w:line="360" w:lineRule="auto" w:after="120"/>
        <w:ind w:firstLine="709"/>
        <w:jc w:val="both"/>
      </w:pPr>
      <w:r>
        <w:rPr>
          <w:rFonts w:ascii="Times New Roman" w:hAnsi="Times New Roman"/>
          <w:sz w:val="24"/>
        </w:rPr>
        <w:t>Las configuraciones más usuales son los sellos tipo laberinto, los sellos con bolsa elastomérica y los sellos combinados (Schlumberger Reda, 2015). Los sellos tipo bolsa se prefieren en aplicaciones con elevada relación gas-líquido o pozos altamente desviados (Baker Hughes Centrilift, 2008).</w:t>
      </w:r>
    </w:p>
    <w:p>
      <w:pPr>
        <w:pStyle w:val="Heading3"/>
      </w:pPr>
      <w:r>
        <w:rPr>
          <w:rFonts w:ascii="Times New Roman" w:hAnsi="Times New Roman"/>
          <w:sz w:val="24"/>
        </w:rPr>
        <w:t>1.3.3 Motor Eléctrico Sumergible</w:t>
      </w:r>
    </w:p>
    <w:p>
      <w:pPr>
        <w:spacing w:line="360" w:lineRule="auto" w:after="120"/>
        <w:ind w:firstLine="709"/>
        <w:jc w:val="both"/>
      </w:pPr>
      <w:r>
        <w:rPr>
          <w:rFonts w:ascii="Times New Roman" w:hAnsi="Times New Roman"/>
          <w:sz w:val="24"/>
        </w:rPr>
        <w:t>El motor BES es un motor asincrónico trifásico de inducción, refrigerado por el flujo del fluido del pozo que lo circunda (Takacs, 2009). Su diseño es similar al de un motor industrial estándar, pero con adaptaciones críticas: geometría tubular delgada dictada por el diámetro del casing; aislamiento de alta temperatura (hasta 350 °F, según API, 2000); y refrigeración por advección externa.</w:t>
      </w:r>
    </w:p>
    <w:p>
      <w:pPr>
        <w:spacing w:line="360" w:lineRule="auto" w:after="120"/>
        <w:ind w:firstLine="709"/>
        <w:jc w:val="both"/>
      </w:pPr>
      <w:r>
        <w:rPr>
          <w:rFonts w:ascii="Times New Roman" w:hAnsi="Times New Roman"/>
          <w:sz w:val="24"/>
        </w:rPr>
        <w:t>La potencia se selecciona mediante (Brown, 1984, §4.5323):</w:t>
      </w:r>
    </w:p>
    <w:p>
      <w:pPr>
        <w:spacing w:before="120" w:after="120"/>
        <w:jc w:val="center"/>
      </w:pPr>
      <w:r>
        <w:rPr>
          <w:rFonts w:ascii="Cambria Math" w:hAnsi="Cambria Math"/>
          <w:i/>
          <w:sz w:val="24"/>
        </w:rPr>
        <w:t>HP_motor = n_etapas × hp/etapa × γ_fluido</w:t>
      </w:r>
      <w:r>
        <w:rPr>
          <w:rFonts w:ascii="Times New Roman" w:hAnsi="Times New Roman"/>
          <w:sz w:val="22"/>
        </w:rPr>
        <w:t xml:space="preserve">   (Ec. 1.1)</w:t>
      </w:r>
    </w:p>
    <w:p>
      <w:pPr>
        <w:spacing w:line="360" w:lineRule="auto" w:after="120"/>
        <w:ind w:firstLine="709"/>
        <w:jc w:val="both"/>
      </w:pPr>
      <w:r>
        <w:rPr>
          <w:rFonts w:ascii="Times New Roman" w:hAnsi="Times New Roman"/>
          <w:sz w:val="24"/>
        </w:rPr>
        <w:t>Brown (1984, §4.5325) recomienda: para potencias menores a 70 HP y profundidades intermedias, motores 440-830 V; para 70-200 HP en pozos profundos, 900-1300 V con tableros de 1500 V; para más de 200 HP, evaluación económica entre 1500 V y 2400 V (Takacs, 2009).</w:t>
      </w:r>
    </w:p>
    <w:p>
      <w:pPr>
        <w:pStyle w:val="Heading3"/>
      </w:pPr>
      <w:r>
        <w:rPr>
          <w:rFonts w:ascii="Times New Roman" w:hAnsi="Times New Roman"/>
          <w:sz w:val="24"/>
        </w:rPr>
        <w:t>1.3.4 Cable de Potencia</w:t>
      </w:r>
    </w:p>
    <w:p>
      <w:pPr>
        <w:spacing w:line="360" w:lineRule="auto" w:after="120"/>
        <w:ind w:firstLine="709"/>
        <w:jc w:val="both"/>
      </w:pPr>
      <w:r>
        <w:rPr>
          <w:rFonts w:ascii="Times New Roman" w:hAnsi="Times New Roman"/>
          <w:sz w:val="24"/>
        </w:rPr>
        <w:t>El cable transmite la energía eléctrica trifásica desde el variador hasta el motor (API, 1995). Se trata de un conductor sometido a condiciones extremas: temperaturas que pueden alcanzar 350 °F, presiones del orden de varios miles de psi, exposición a hidrocarburos, agua salada, CO₂ y H₂S (Takacs, 2009).</w:t>
      </w:r>
    </w:p>
    <w:p>
      <w:pPr>
        <w:spacing w:line="360" w:lineRule="auto" w:after="120"/>
        <w:ind w:firstLine="709"/>
        <w:jc w:val="both"/>
      </w:pPr>
      <w:r>
        <w:rPr>
          <w:rFonts w:ascii="Times New Roman" w:hAnsi="Times New Roman"/>
          <w:sz w:val="24"/>
        </w:rPr>
        <w:t>La sección del conductor se selecciona en función de la ampacidad requerida por el motor, la temperatura ambiente y la caída de tensión admisible. La caída de tensión se evalúa mediante la curva de la Figura 4.54 de Brown (1984):</w:t>
      </w:r>
    </w:p>
    <w:p>
      <w:pPr>
        <w:spacing w:before="120" w:after="120"/>
        <w:jc w:val="center"/>
      </w:pPr>
      <w:r>
        <w:rPr>
          <w:rFonts w:ascii="Cambria Math" w:hAnsi="Cambria Math"/>
          <w:i/>
          <w:sz w:val="24"/>
        </w:rPr>
        <w:t>V_superficie = (V_motor + ΔV_cable) × 1,025</w:t>
      </w:r>
      <w:r>
        <w:rPr>
          <w:rFonts w:ascii="Times New Roman" w:hAnsi="Times New Roman"/>
          <w:sz w:val="22"/>
        </w:rPr>
        <w:t xml:space="preserve">   (Ec. 1.2)</w:t>
      </w:r>
    </w:p>
    <w:p>
      <w:pPr>
        <w:spacing w:line="360" w:lineRule="auto" w:after="120"/>
        <w:ind w:firstLine="709"/>
        <w:jc w:val="both"/>
      </w:pPr>
      <w:r>
        <w:rPr>
          <w:rFonts w:ascii="Times New Roman" w:hAnsi="Times New Roman"/>
          <w:sz w:val="24"/>
        </w:rPr>
        <w:t>La Tabla 1.1 presenta la ampacidad nominal de los calibres más utilizados en BES.</w:t>
      </w:r>
    </w:p>
    <w:p>
      <w:pPr>
        <w:spacing w:after="80"/>
        <w:jc w:val="center"/>
      </w:pPr>
      <w:r>
        <w:rPr>
          <w:rFonts w:ascii="Times New Roman" w:hAnsi="Times New Roman"/>
          <w:i/>
          <w:sz w:val="20"/>
        </w:rPr>
        <w:t>Tabla 1.1 — Ampacidad nominal de cables BES. Fuente: Brown (1984, Tabla 4.52); API (1995).</w:t>
      </w:r>
    </w:p>
    <w:tbl>
      <w:tblPr>
        <w:tblStyle w:val="LightGrid-Accent1"/>
        <w:tblW w:type="auto" w:w="0"/>
        <w:tblLook w:firstColumn="1" w:firstRow="1" w:lastColumn="0" w:lastRow="0" w:noHBand="0" w:noVBand="1" w:val="04A0"/>
      </w:tblPr>
      <w:tblGrid>
        <w:gridCol w:w="2275"/>
        <w:gridCol w:w="2275"/>
        <w:gridCol w:w="2275"/>
        <w:gridCol w:w="2275"/>
      </w:tblGrid>
      <w:tr>
        <w:tc>
          <w:tcPr>
            <w:tcW w:type="dxa" w:w="2275"/>
          </w:tcPr>
          <w:p>
            <w:r>
              <w:rPr>
                <w:b/>
              </w:rPr>
              <w:t>Calibre</w:t>
            </w:r>
          </w:p>
        </w:tc>
        <w:tc>
          <w:tcPr>
            <w:tcW w:type="dxa" w:w="2275"/>
          </w:tcPr>
          <w:p>
            <w:r>
              <w:rPr>
                <w:b/>
              </w:rPr>
              <w:t>Material</w:t>
            </w:r>
          </w:p>
        </w:tc>
        <w:tc>
          <w:tcPr>
            <w:tcW w:type="dxa" w:w="2275"/>
          </w:tcPr>
          <w:p>
            <w:r>
              <w:rPr>
                <w:b/>
              </w:rPr>
              <w:t>Ampacidad (A)</w:t>
            </w:r>
          </w:p>
        </w:tc>
        <w:tc>
          <w:tcPr>
            <w:tcW w:type="dxa" w:w="2275"/>
          </w:tcPr>
          <w:p>
            <w:r>
              <w:rPr>
                <w:b/>
              </w:rPr>
              <w:t>Aplicación típica</w:t>
            </w:r>
          </w:p>
        </w:tc>
      </w:tr>
      <w:tr>
        <w:tc>
          <w:tcPr>
            <w:tcW w:type="dxa" w:w="2275"/>
          </w:tcPr>
          <w:p>
            <w:r>
              <w:t>#1</w:t>
            </w:r>
          </w:p>
        </w:tc>
        <w:tc>
          <w:tcPr>
            <w:tcW w:type="dxa" w:w="2275"/>
          </w:tcPr>
          <w:p>
            <w:r>
              <w:t>CU</w:t>
            </w:r>
          </w:p>
        </w:tc>
        <w:tc>
          <w:tcPr>
            <w:tcW w:type="dxa" w:w="2275"/>
          </w:tcPr>
          <w:p>
            <w:r>
              <w:t>115</w:t>
            </w:r>
          </w:p>
        </w:tc>
        <w:tc>
          <w:tcPr>
            <w:tcW w:type="dxa" w:w="2275"/>
          </w:tcPr>
          <w:p>
            <w:r>
              <w:t>Motores ≥ 100 HP</w:t>
            </w:r>
          </w:p>
        </w:tc>
      </w:tr>
      <w:tr>
        <w:tc>
          <w:tcPr>
            <w:tcW w:type="dxa" w:w="2275"/>
          </w:tcPr>
          <w:p>
            <w:r>
              <w:t>2/0</w:t>
            </w:r>
          </w:p>
        </w:tc>
        <w:tc>
          <w:tcPr>
            <w:tcW w:type="dxa" w:w="2275"/>
          </w:tcPr>
          <w:p>
            <w:r>
              <w:t>AL</w:t>
            </w:r>
          </w:p>
        </w:tc>
        <w:tc>
          <w:tcPr>
            <w:tcW w:type="dxa" w:w="2275"/>
          </w:tcPr>
          <w:p>
            <w:r>
              <w:t>115</w:t>
            </w:r>
          </w:p>
        </w:tc>
        <w:tc>
          <w:tcPr>
            <w:tcW w:type="dxa" w:w="2275"/>
          </w:tcPr>
          <w:p>
            <w:r>
              <w:t>Motores ≥ 100 HP, alternativa Al</w:t>
            </w:r>
          </w:p>
        </w:tc>
      </w:tr>
      <w:tr>
        <w:tc>
          <w:tcPr>
            <w:tcW w:type="dxa" w:w="2275"/>
          </w:tcPr>
          <w:p>
            <w:r>
              <w:t>#2</w:t>
            </w:r>
          </w:p>
        </w:tc>
        <w:tc>
          <w:tcPr>
            <w:tcW w:type="dxa" w:w="2275"/>
          </w:tcPr>
          <w:p>
            <w:r>
              <w:t>CU</w:t>
            </w:r>
          </w:p>
        </w:tc>
        <w:tc>
          <w:tcPr>
            <w:tcW w:type="dxa" w:w="2275"/>
          </w:tcPr>
          <w:p>
            <w:r>
              <w:t>95</w:t>
            </w:r>
          </w:p>
        </w:tc>
        <w:tc>
          <w:tcPr>
            <w:tcW w:type="dxa" w:w="2275"/>
          </w:tcPr>
          <w:p>
            <w:r>
              <w:t>Motores 60-100 HP</w:t>
            </w:r>
          </w:p>
        </w:tc>
      </w:tr>
      <w:tr>
        <w:tc>
          <w:tcPr>
            <w:tcW w:type="dxa" w:w="2275"/>
          </w:tcPr>
          <w:p>
            <w:r>
              <w:t>1/0</w:t>
            </w:r>
          </w:p>
        </w:tc>
        <w:tc>
          <w:tcPr>
            <w:tcW w:type="dxa" w:w="2275"/>
          </w:tcPr>
          <w:p>
            <w:r>
              <w:t>AL</w:t>
            </w:r>
          </w:p>
        </w:tc>
        <w:tc>
          <w:tcPr>
            <w:tcW w:type="dxa" w:w="2275"/>
          </w:tcPr>
          <w:p>
            <w:r>
              <w:t>95</w:t>
            </w:r>
          </w:p>
        </w:tc>
        <w:tc>
          <w:tcPr>
            <w:tcW w:type="dxa" w:w="2275"/>
          </w:tcPr>
          <w:p>
            <w:r>
              <w:t>Motores 60-100 HP</w:t>
            </w:r>
          </w:p>
        </w:tc>
      </w:tr>
      <w:tr>
        <w:tc>
          <w:tcPr>
            <w:tcW w:type="dxa" w:w="2275"/>
          </w:tcPr>
          <w:p>
            <w:r>
              <w:t>#4</w:t>
            </w:r>
          </w:p>
        </w:tc>
        <w:tc>
          <w:tcPr>
            <w:tcW w:type="dxa" w:w="2275"/>
          </w:tcPr>
          <w:p>
            <w:r>
              <w:t>CU</w:t>
            </w:r>
          </w:p>
        </w:tc>
        <w:tc>
          <w:tcPr>
            <w:tcW w:type="dxa" w:w="2275"/>
          </w:tcPr>
          <w:p>
            <w:r>
              <w:t>70</w:t>
            </w:r>
          </w:p>
        </w:tc>
        <w:tc>
          <w:tcPr>
            <w:tcW w:type="dxa" w:w="2275"/>
          </w:tcPr>
          <w:p>
            <w:r>
              <w:t>Motores 30-60 HP</w:t>
            </w:r>
          </w:p>
        </w:tc>
      </w:tr>
      <w:tr>
        <w:tc>
          <w:tcPr>
            <w:tcW w:type="dxa" w:w="2275"/>
          </w:tcPr>
          <w:p>
            <w:r>
              <w:t>#2</w:t>
            </w:r>
          </w:p>
        </w:tc>
        <w:tc>
          <w:tcPr>
            <w:tcW w:type="dxa" w:w="2275"/>
          </w:tcPr>
          <w:p>
            <w:r>
              <w:t>AL</w:t>
            </w:r>
          </w:p>
        </w:tc>
        <w:tc>
          <w:tcPr>
            <w:tcW w:type="dxa" w:w="2275"/>
          </w:tcPr>
          <w:p>
            <w:r>
              <w:t>70</w:t>
            </w:r>
          </w:p>
        </w:tc>
        <w:tc>
          <w:tcPr>
            <w:tcW w:type="dxa" w:w="2275"/>
          </w:tcPr>
          <w:p>
            <w:r>
              <w:t>Motores 30-60 HP</w:t>
            </w:r>
          </w:p>
        </w:tc>
      </w:tr>
      <w:tr>
        <w:tc>
          <w:tcPr>
            <w:tcW w:type="dxa" w:w="2275"/>
          </w:tcPr>
          <w:p>
            <w:r>
              <w:t>#6</w:t>
            </w:r>
          </w:p>
        </w:tc>
        <w:tc>
          <w:tcPr>
            <w:tcW w:type="dxa" w:w="2275"/>
          </w:tcPr>
          <w:p>
            <w:r>
              <w:t>CU</w:t>
            </w:r>
          </w:p>
        </w:tc>
        <w:tc>
          <w:tcPr>
            <w:tcW w:type="dxa" w:w="2275"/>
          </w:tcPr>
          <w:p>
            <w:r>
              <w:t>55</w:t>
            </w:r>
          </w:p>
        </w:tc>
        <w:tc>
          <w:tcPr>
            <w:tcW w:type="dxa" w:w="2275"/>
          </w:tcPr>
          <w:p>
            <w:r>
              <w:t>Motores &lt; 30 HP</w:t>
            </w:r>
          </w:p>
        </w:tc>
      </w:tr>
      <w:tr>
        <w:tc>
          <w:tcPr>
            <w:tcW w:type="dxa" w:w="2275"/>
          </w:tcPr>
          <w:p>
            <w:r>
              <w:t>#4</w:t>
            </w:r>
          </w:p>
        </w:tc>
        <w:tc>
          <w:tcPr>
            <w:tcW w:type="dxa" w:w="2275"/>
          </w:tcPr>
          <w:p>
            <w:r>
              <w:t>AL</w:t>
            </w:r>
          </w:p>
        </w:tc>
        <w:tc>
          <w:tcPr>
            <w:tcW w:type="dxa" w:w="2275"/>
          </w:tcPr>
          <w:p>
            <w:r>
              <w:t>55</w:t>
            </w:r>
          </w:p>
        </w:tc>
        <w:tc>
          <w:tcPr>
            <w:tcW w:type="dxa" w:w="2275"/>
          </w:tcPr>
          <w:p>
            <w:r>
              <w:t>Motores &lt; 30 HP</w:t>
            </w:r>
          </w:p>
        </w:tc>
      </w:tr>
    </w:tbl>
    <w:p/>
    <w:p>
      <w:pPr>
        <w:spacing w:line="360" w:lineRule="auto" w:after="120"/>
        <w:ind w:firstLine="709"/>
        <w:jc w:val="both"/>
      </w:pPr>
      <w:r>
        <w:rPr>
          <w:rFonts w:ascii="Times New Roman" w:hAnsi="Times New Roman"/>
          <w:sz w:val="24"/>
        </w:rPr>
        <w:t>Los compuestos de aislamiento varían según el ambiente operativo (API, 1995). Redalene se utiliza hasta 180 °F; Redared hasta 300 °F; polietileno para ambientes corrosivos de baja temperatura (Schlumberger Reda, 2015).</w:t>
      </w:r>
    </w:p>
    <w:p>
      <w:pPr>
        <w:pStyle w:val="Heading3"/>
      </w:pPr>
      <w:r>
        <w:rPr>
          <w:rFonts w:ascii="Times New Roman" w:hAnsi="Times New Roman"/>
          <w:sz w:val="24"/>
        </w:rPr>
        <w:t>1.3.5 Sensor de Fondo</w:t>
      </w:r>
    </w:p>
    <w:p>
      <w:pPr>
        <w:spacing w:line="360" w:lineRule="auto" w:after="120"/>
        <w:ind w:firstLine="709"/>
        <w:jc w:val="both"/>
      </w:pPr>
      <w:r>
        <w:rPr>
          <w:rFonts w:ascii="Times New Roman" w:hAnsi="Times New Roman"/>
          <w:sz w:val="24"/>
        </w:rPr>
        <w:t>El sensor de fondo permite la medición en tiempo real de presión y temperatura de admisión, temperatura del motor, vibración y, en sistemas avanzados, presión de descarga de la bomba (Schlumberger Reda, 2015). La incorporación del sensor transforma el BES en una unidad monitoreable y susceptible de control adaptativo, lo que ha sido determinante en su penetración creciente en yacimientos no convencionales como Vaca Muerta (Lea et al., 2008; Romero y Hupp, 2014).</w:t>
      </w:r>
    </w:p>
    <w:p>
      <w:pPr>
        <w:pStyle w:val="Heading3"/>
      </w:pPr>
      <w:r>
        <w:rPr>
          <w:rFonts w:ascii="Times New Roman" w:hAnsi="Times New Roman"/>
          <w:sz w:val="24"/>
        </w:rPr>
        <w:t>1.3.6 Variador de Frecuencia (VSD)</w:t>
      </w:r>
    </w:p>
    <w:p>
      <w:pPr>
        <w:spacing w:line="360" w:lineRule="auto" w:after="120"/>
        <w:ind w:firstLine="709"/>
        <w:jc w:val="both"/>
      </w:pPr>
      <w:r>
        <w:rPr>
          <w:rFonts w:ascii="Times New Roman" w:hAnsi="Times New Roman"/>
          <w:sz w:val="24"/>
        </w:rPr>
        <w:t>El VSD permite la regulación continua del régimen de giro del motor mediante la modificación de la frecuencia. La relación entre frecuencia y desempeño se rige por las leyes de afinidad (Brown, 1984, §4.534; Brill y Mukherjee, 1999):</w:t>
      </w:r>
    </w:p>
    <w:p>
      <w:pPr>
        <w:spacing w:before="120" w:after="120"/>
        <w:jc w:val="center"/>
      </w:pPr>
      <w:r>
        <w:rPr>
          <w:rFonts w:ascii="Cambria Math" w:hAnsi="Cambria Math"/>
          <w:i/>
          <w:sz w:val="24"/>
        </w:rPr>
        <w:t>Q₂/Q₁ = N₂/N₁  ;  H₂/H₁ = (N₂/N₁)²  ;  HP₂/HP₁ = (N₂/N₁)³</w:t>
      </w:r>
      <w:r>
        <w:rPr>
          <w:rFonts w:ascii="Times New Roman" w:hAnsi="Times New Roman"/>
          <w:sz w:val="22"/>
        </w:rPr>
        <w:t xml:space="preserve">   (Ec. 1.3)</w:t>
      </w:r>
    </w:p>
    <w:p>
      <w:pPr>
        <w:spacing w:line="360" w:lineRule="auto" w:after="120"/>
        <w:ind w:firstLine="709"/>
        <w:jc w:val="both"/>
      </w:pPr>
      <w:r>
        <w:rPr>
          <w:rFonts w:ascii="Times New Roman" w:hAnsi="Times New Roman"/>
          <w:sz w:val="24"/>
        </w:rPr>
        <w:t>La operación con VSD permite ajustar el caudal y la altura desarrollada de manera continua, optimizando la operación en función de la declinación del reservorio sin necesidad de extraer el equipo del pozo (Powers, 1986; Takacs, 2009).</w:t>
      </w:r>
    </w:p>
    <w:p>
      <w:pPr>
        <w:pStyle w:val="Heading3"/>
      </w:pPr>
      <w:r>
        <w:rPr>
          <w:rFonts w:ascii="Times New Roman" w:hAnsi="Times New Roman"/>
          <w:sz w:val="24"/>
        </w:rPr>
        <w:t>1.3.7 Transformador</w:t>
      </w:r>
    </w:p>
    <w:p>
      <w:pPr>
        <w:spacing w:line="360" w:lineRule="auto" w:after="120"/>
        <w:ind w:firstLine="709"/>
        <w:jc w:val="both"/>
      </w:pPr>
      <w:r>
        <w:rPr>
          <w:rFonts w:ascii="Times New Roman" w:hAnsi="Times New Roman"/>
          <w:sz w:val="24"/>
        </w:rPr>
        <w:t>El transformador eleva la tensión disponible en superficie hasta el valor requerido por el motor más las pérdidas del cable (Brown, 1984, §4.5326). El dimensionamiento se realiza mediante:</w:t>
      </w:r>
    </w:p>
    <w:p>
      <w:pPr>
        <w:spacing w:before="120" w:after="120"/>
        <w:jc w:val="center"/>
      </w:pPr>
      <w:r>
        <w:rPr>
          <w:rFonts w:ascii="Cambria Math" w:hAnsi="Cambria Math"/>
          <w:i/>
          <w:sz w:val="24"/>
        </w:rPr>
        <w:t>kVA = (V_superficie × A_motor × √3) / 1000</w:t>
      </w:r>
      <w:r>
        <w:rPr>
          <w:rFonts w:ascii="Times New Roman" w:hAnsi="Times New Roman"/>
          <w:sz w:val="22"/>
        </w:rPr>
        <w:t xml:space="preserve">   (Ec. 1.4)</w:t>
      </w:r>
    </w:p>
    <w:p>
      <w:pPr>
        <w:spacing w:line="360" w:lineRule="auto" w:after="120"/>
        <w:ind w:firstLine="709"/>
        <w:jc w:val="both"/>
      </w:pPr>
      <w:r>
        <w:rPr>
          <w:rFonts w:ascii="Times New Roman" w:hAnsi="Times New Roman"/>
          <w:sz w:val="24"/>
        </w:rPr>
        <w:t>Cuando se emplean tres transformadores monofásicos en banco, el valor total se divide por tres y se selecciona el tamaño comercial superior (Takacs, 2009). Tamaños estándar: 25, 37,5, 50, 75, 100, 150, 200, 300 kVA por unidad.</w:t>
      </w:r>
    </w:p>
    <w:p>
      <w:pPr>
        <w:spacing w:line="360" w:lineRule="auto" w:after="120"/>
        <w:ind w:firstLine="709"/>
        <w:jc w:val="both"/>
      </w:pPr>
      <w:r>
        <w:rPr>
          <w:rFonts w:ascii="Times New Roman" w:hAnsi="Times New Roman"/>
          <w:sz w:val="24"/>
        </w:rPr>
        <w:t>La Tabla 1.2 sintetiza el costo relativo de motores BES por tamaño de casing, criterio que justifica usar el motor de mayor diámetro que entre en el casing.</w:t>
      </w:r>
    </w:p>
    <w:p>
      <w:pPr>
        <w:spacing w:after="80"/>
        <w:jc w:val="center"/>
      </w:pPr>
      <w:r>
        <w:rPr>
          <w:rFonts w:ascii="Times New Roman" w:hAnsi="Times New Roman"/>
          <w:i/>
          <w:sz w:val="20"/>
        </w:rPr>
        <w:t>Tabla 1.2 — Costo relativo de motores BES según tamaño de casing. Fuente: Brown (1984, Tabla 4.51).</w:t>
      </w:r>
    </w:p>
    <w:tbl>
      <w:tblPr>
        <w:tblStyle w:val="LightGrid-Accent1"/>
        <w:tblW w:type="auto" w:w="0"/>
        <w:tblLook w:firstColumn="1" w:firstRow="1" w:lastColumn="0" w:lastRow="0" w:noHBand="0" w:noVBand="1" w:val="04A0"/>
      </w:tblPr>
      <w:tblGrid>
        <w:gridCol w:w="2275"/>
        <w:gridCol w:w="2275"/>
        <w:gridCol w:w="2275"/>
        <w:gridCol w:w="2275"/>
      </w:tblGrid>
      <w:tr>
        <w:tc>
          <w:tcPr>
            <w:tcW w:type="dxa" w:w="2275"/>
          </w:tcPr>
          <w:p>
            <w:r>
              <w:rPr>
                <w:b/>
              </w:rPr>
              <w:t>Casing OD (in)</w:t>
            </w:r>
          </w:p>
        </w:tc>
        <w:tc>
          <w:tcPr>
            <w:tcW w:type="dxa" w:w="2275"/>
          </w:tcPr>
          <w:p>
            <w:r>
              <w:rPr>
                <w:b/>
              </w:rPr>
              <w:t>OD bomba/motor (in)</w:t>
            </w:r>
          </w:p>
        </w:tc>
        <w:tc>
          <w:tcPr>
            <w:tcW w:type="dxa" w:w="2275"/>
          </w:tcPr>
          <w:p>
            <w:r>
              <w:rPr>
                <w:b/>
              </w:rPr>
              <w:t>Costo relativo motor</w:t>
            </w:r>
          </w:p>
        </w:tc>
        <w:tc>
          <w:tcPr>
            <w:tcW w:type="dxa" w:w="2275"/>
          </w:tcPr>
          <w:p>
            <w:r>
              <w:rPr>
                <w:b/>
              </w:rPr>
              <w:t>HP por ft de longitud</w:t>
            </w:r>
          </w:p>
        </w:tc>
      </w:tr>
      <w:tr>
        <w:tc>
          <w:tcPr>
            <w:tcW w:type="dxa" w:w="2275"/>
          </w:tcPr>
          <w:p>
            <w:r>
              <w:t>7</w:t>
            </w:r>
          </w:p>
        </w:tc>
        <w:tc>
          <w:tcPr>
            <w:tcW w:type="dxa" w:w="2275"/>
          </w:tcPr>
          <w:p>
            <w:r>
              <w:t>5,4</w:t>
            </w:r>
          </w:p>
        </w:tc>
        <w:tc>
          <w:tcPr>
            <w:tcW w:type="dxa" w:w="2275"/>
          </w:tcPr>
          <w:p>
            <w:r>
              <w:t>1,00</w:t>
            </w:r>
          </w:p>
        </w:tc>
        <w:tc>
          <w:tcPr>
            <w:tcW w:type="dxa" w:w="2275"/>
          </w:tcPr>
          <w:p>
            <w:r>
              <w:t>6,25</w:t>
            </w:r>
          </w:p>
        </w:tc>
      </w:tr>
      <w:tr>
        <w:tc>
          <w:tcPr>
            <w:tcW w:type="dxa" w:w="2275"/>
          </w:tcPr>
          <w:p>
            <w:r>
              <w:t>5½</w:t>
            </w:r>
          </w:p>
        </w:tc>
        <w:tc>
          <w:tcPr>
            <w:tcW w:type="dxa" w:w="2275"/>
          </w:tcPr>
          <w:p>
            <w:r>
              <w:t>4,56</w:t>
            </w:r>
          </w:p>
        </w:tc>
        <w:tc>
          <w:tcPr>
            <w:tcW w:type="dxa" w:w="2275"/>
          </w:tcPr>
          <w:p>
            <w:r>
              <w:t>1,44</w:t>
            </w:r>
          </w:p>
        </w:tc>
        <w:tc>
          <w:tcPr>
            <w:tcW w:type="dxa" w:w="2275"/>
          </w:tcPr>
          <w:p>
            <w:r>
              <w:t>3,75</w:t>
            </w:r>
          </w:p>
        </w:tc>
      </w:tr>
      <w:tr>
        <w:tc>
          <w:tcPr>
            <w:tcW w:type="dxa" w:w="2275"/>
          </w:tcPr>
          <w:p>
            <w:r>
              <w:t>4½</w:t>
            </w:r>
          </w:p>
        </w:tc>
        <w:tc>
          <w:tcPr>
            <w:tcW w:type="dxa" w:w="2275"/>
          </w:tcPr>
          <w:p>
            <w:r>
              <w:t>3,75</w:t>
            </w:r>
          </w:p>
        </w:tc>
        <w:tc>
          <w:tcPr>
            <w:tcW w:type="dxa" w:w="2275"/>
          </w:tcPr>
          <w:p>
            <w:r>
              <w:t>2,30</w:t>
            </w:r>
          </w:p>
        </w:tc>
        <w:tc>
          <w:tcPr>
            <w:tcW w:type="dxa" w:w="2275"/>
          </w:tcPr>
          <w:p>
            <w:r>
              <w:t>1,42</w:t>
            </w:r>
          </w:p>
        </w:tc>
      </w:tr>
    </w:tbl>
    <w:p/>
    <w:p>
      <w:pPr>
        <w:pStyle w:val="Heading3"/>
      </w:pPr>
      <w:r>
        <w:rPr>
          <w:rFonts w:ascii="Times New Roman" w:hAnsi="Times New Roman"/>
          <w:sz w:val="24"/>
        </w:rPr>
        <w:t>1.3.8 Tablero de Control / Switchboard</w:t>
      </w:r>
    </w:p>
    <w:p>
      <w:pPr>
        <w:spacing w:line="360" w:lineRule="auto" w:after="120"/>
        <w:ind w:firstLine="709"/>
        <w:jc w:val="both"/>
      </w:pPr>
      <w:r>
        <w:rPr>
          <w:rFonts w:ascii="Times New Roman" w:hAnsi="Times New Roman"/>
          <w:sz w:val="24"/>
        </w:rPr>
        <w:t>El tablero de control aloja los elementos de protección, maniobra y medición del sistema eléctrico (Schlumberger Reda, 2015). La tensión nominal se elige conjuntamente con la del motor (Brown, 1984; API, 2000).</w:t>
      </w:r>
    </w:p>
    <w:p>
      <w:pPr>
        <w:pStyle w:val="Heading3"/>
      </w:pPr>
      <w:r>
        <w:rPr>
          <w:rFonts w:ascii="Times New Roman" w:hAnsi="Times New Roman"/>
          <w:sz w:val="24"/>
        </w:rPr>
        <w:t>1.3.9 Cabezal de Pozo</w:t>
      </w:r>
    </w:p>
    <w:p>
      <w:pPr>
        <w:spacing w:line="360" w:lineRule="auto" w:after="120"/>
        <w:ind w:firstLine="709"/>
        <w:jc w:val="both"/>
      </w:pPr>
      <w:r>
        <w:rPr>
          <w:rFonts w:ascii="Times New Roman" w:hAnsi="Times New Roman"/>
          <w:sz w:val="24"/>
        </w:rPr>
        <w:t>El cabezal de pozo provee el sello dinámico para el paso del cable de potencia desde superficie hacia el espacio anular casing-tubing, manteniendo el aislamiento de la presión interna del pozo (Takacs, 2009; API, 2000).</w:t>
      </w:r>
    </w:p>
    <w:p>
      <w:r>
        <w:br w:type="page"/>
      </w:r>
    </w:p>
    <w:p>
      <w:pPr>
        <w:pStyle w:val="Heading1"/>
      </w:pPr>
      <w:r>
        <w:rPr>
          <w:rFonts w:ascii="Times New Roman" w:hAnsi="Times New Roman"/>
          <w:sz w:val="32"/>
        </w:rPr>
        <w:t>CAPÍTULO II: DISEÑO DEL SISTEMA DE BOMBEO ELECTROSUMERGIBLE</w:t>
      </w:r>
    </w:p>
    <w:p>
      <w:pPr>
        <w:pStyle w:val="Heading2"/>
      </w:pPr>
      <w:r>
        <w:rPr>
          <w:rFonts w:ascii="Times New Roman" w:hAnsi="Times New Roman"/>
          <w:sz w:val="28"/>
        </w:rPr>
        <w:t>2.1 PARÁMETROS PARA EL DISEÑO</w:t>
      </w:r>
    </w:p>
    <w:p>
      <w:pPr>
        <w:spacing w:line="360" w:lineRule="auto" w:after="120"/>
        <w:ind w:firstLine="709"/>
        <w:jc w:val="both"/>
      </w:pPr>
      <w:r>
        <w:rPr>
          <w:rFonts w:ascii="Times New Roman" w:hAnsi="Times New Roman"/>
          <w:sz w:val="24"/>
        </w:rPr>
        <w:t>El diseño de una instalación BES requiere la integración sistemática de información de cuatro fuentes: caracterización del reservorio y curva IPR; propiedades PVT del fluido producido; geometría del pozo y completación; condiciones de superficie y suministro eléctrico (Brown, 1984, §4.5322). La calidad y confiabilidad de esta información determina la precisión del diseño (Takacs, 2009; Brill y Mukherjee, 1999).</w:t>
      </w:r>
    </w:p>
    <w:p>
      <w:pPr>
        <w:pStyle w:val="Heading2"/>
      </w:pPr>
      <w:r>
        <w:rPr>
          <w:rFonts w:ascii="Times New Roman" w:hAnsi="Times New Roman"/>
          <w:sz w:val="28"/>
        </w:rPr>
        <w:t>2.2 INFLOW PERFORMANCE RELATIONSHIP (IPR)</w:t>
      </w:r>
    </w:p>
    <w:p>
      <w:pPr>
        <w:spacing w:line="360" w:lineRule="auto" w:after="120"/>
        <w:ind w:firstLine="709"/>
        <w:jc w:val="both"/>
      </w:pPr>
      <w:r>
        <w:rPr>
          <w:rFonts w:ascii="Times New Roman" w:hAnsi="Times New Roman"/>
          <w:sz w:val="24"/>
        </w:rPr>
        <w:t>La curva IPR representa la capacidad productiva del sistema reservorio-pozo, expresada como la relación entre el caudal producido en superficie y la presión de fondo fluyente correspondiente (Brown, 1980; Economides et al., 2013). La selección del método para construir la curva depende del régimen de flujo: monofásico cuando P_wf &gt; P_b, bifásico cuando P_wf &lt; P_b (Vogel, 1968; Guo et al., 2007).</w:t>
      </w:r>
    </w:p>
    <w:p>
      <w:pPr>
        <w:jc w:val="center"/>
      </w:pPr>
      <w:r>
        <w:drawing>
          <wp:inline xmlns:a="http://schemas.openxmlformats.org/drawingml/2006/main" xmlns:pic="http://schemas.openxmlformats.org/drawingml/2006/picture">
            <wp:extent cx="5029200" cy="3564835"/>
            <wp:docPr id="3" name="Picture 3"/>
            <wp:cNvGraphicFramePr>
              <a:graphicFrameLocks noChangeAspect="1"/>
            </wp:cNvGraphicFramePr>
            <a:graphic>
              <a:graphicData uri="http://schemas.openxmlformats.org/drawingml/2006/picture">
                <pic:pic>
                  <pic:nvPicPr>
                    <pic:cNvPr id="0" name="fig_ipr_comparison.png"/>
                    <pic:cNvPicPr/>
                  </pic:nvPicPr>
                  <pic:blipFill>
                    <a:blip r:embed="rId11"/>
                    <a:stretch>
                      <a:fillRect/>
                    </a:stretch>
                  </pic:blipFill>
                  <pic:spPr>
                    <a:xfrm>
                      <a:off x="0" y="0"/>
                      <a:ext cx="5029200" cy="3564835"/>
                    </a:xfrm>
                    <a:prstGeom prst="rect"/>
                  </pic:spPr>
                </pic:pic>
              </a:graphicData>
            </a:graphic>
          </wp:inline>
        </w:drawing>
      </w:r>
    </w:p>
    <w:p>
      <w:pPr>
        <w:spacing w:after="200"/>
        <w:jc w:val="center"/>
      </w:pPr>
      <w:r>
        <w:rPr>
          <w:rFonts w:ascii="Times New Roman" w:hAnsi="Times New Roman"/>
          <w:i/>
          <w:sz w:val="20"/>
        </w:rPr>
        <w:t>Figura 2.1 — Comparación de los cuatro métodos de IPR implementados en la herramienta (P̄_R = 2500 psi, P_b = 1500 psi, J = 1 STB/d/psi).</w:t>
      </w:r>
    </w:p>
    <w:p>
      <w:pPr>
        <w:pStyle w:val="Heading3"/>
      </w:pPr>
      <w:r>
        <w:rPr>
          <w:rFonts w:ascii="Times New Roman" w:hAnsi="Times New Roman"/>
          <w:sz w:val="24"/>
        </w:rPr>
        <w:t>2.2.1 IPR Lineal</w:t>
      </w:r>
    </w:p>
    <w:p>
      <w:pPr>
        <w:spacing w:line="360" w:lineRule="auto" w:after="120"/>
        <w:ind w:firstLine="709"/>
        <w:jc w:val="both"/>
      </w:pPr>
      <w:r>
        <w:rPr>
          <w:rFonts w:ascii="Times New Roman" w:hAnsi="Times New Roman"/>
          <w:sz w:val="24"/>
        </w:rPr>
        <w:t>Para reservorios subsaturados donde P_wf &gt; P_b en todo el rango operativo, la ecuación de Darcy en régimen pseudo-estacionario admite representación lineal (Brown, 1980):</w:t>
      </w:r>
    </w:p>
    <w:p>
      <w:pPr>
        <w:spacing w:before="120" w:after="120"/>
        <w:jc w:val="center"/>
      </w:pPr>
      <w:r>
        <w:rPr>
          <w:rFonts w:ascii="Cambria Math" w:hAnsi="Cambria Math"/>
          <w:i/>
          <w:sz w:val="24"/>
        </w:rPr>
        <w:t>q = J × (P̄_R − P_wf)</w:t>
      </w:r>
      <w:r>
        <w:rPr>
          <w:rFonts w:ascii="Times New Roman" w:hAnsi="Times New Roman"/>
          <w:sz w:val="22"/>
        </w:rPr>
        <w:t xml:space="preserve">   (Ec. 2.1)</w:t>
      </w:r>
    </w:p>
    <w:p>
      <w:pPr>
        <w:spacing w:line="360" w:lineRule="auto" w:after="120"/>
        <w:ind w:firstLine="709"/>
        <w:jc w:val="both"/>
      </w:pPr>
      <w:r>
        <w:rPr>
          <w:rFonts w:ascii="Times New Roman" w:hAnsi="Times New Roman"/>
          <w:sz w:val="24"/>
        </w:rPr>
        <w:t>El índice J puede estimarse de un ensayo de producción o calcularse mediante la ecuación extendida de Darcy (Brown, 1980; Brill y Mukherjee, 1999):</w:t>
      </w:r>
    </w:p>
    <w:p>
      <w:pPr>
        <w:spacing w:before="120" w:after="120"/>
        <w:jc w:val="center"/>
      </w:pPr>
      <w:r>
        <w:rPr>
          <w:rFonts w:ascii="Cambria Math" w:hAnsi="Cambria Math"/>
          <w:i/>
          <w:sz w:val="24"/>
        </w:rPr>
        <w:t>J = (7,08 × 10⁻³ × k × h) / [μ_o × B_o × (ln(r_e/r_w) − 0,75 + S)]</w:t>
      </w:r>
      <w:r>
        <w:rPr>
          <w:rFonts w:ascii="Times New Roman" w:hAnsi="Times New Roman"/>
          <w:sz w:val="22"/>
        </w:rPr>
        <w:t xml:space="preserve">   (Ec. 2.2)</w:t>
      </w:r>
    </w:p>
    <w:p>
      <w:pPr>
        <w:pStyle w:val="Heading3"/>
      </w:pPr>
      <w:r>
        <w:rPr>
          <w:rFonts w:ascii="Times New Roman" w:hAnsi="Times New Roman"/>
          <w:sz w:val="24"/>
        </w:rPr>
        <w:t>2.2.2 IPR de Vogel</w:t>
      </w:r>
    </w:p>
    <w:p>
      <w:pPr>
        <w:spacing w:line="360" w:lineRule="auto" w:after="120"/>
        <w:ind w:firstLine="709"/>
        <w:jc w:val="both"/>
      </w:pPr>
      <w:r>
        <w:rPr>
          <w:rFonts w:ascii="Times New Roman" w:hAnsi="Times New Roman"/>
          <w:sz w:val="24"/>
        </w:rPr>
        <w:t>Para reservorios saturados o cuando P_wf cae por debajo de P_b, Vogel (1968) propuso una correlación empírica derivada de simulaciones en reservorios de empuje por gas en solución:</w:t>
      </w:r>
    </w:p>
    <w:p>
      <w:pPr>
        <w:spacing w:before="120" w:after="120"/>
        <w:jc w:val="center"/>
      </w:pPr>
      <w:r>
        <w:rPr>
          <w:rFonts w:ascii="Cambria Math" w:hAnsi="Cambria Math"/>
          <w:i/>
          <w:sz w:val="24"/>
        </w:rPr>
        <w:t>q/q_max = 1 − 0,2 × (P_wf/P̄_R) − 0,8 × (P_wf/P̄_R)²</w:t>
      </w:r>
      <w:r>
        <w:rPr>
          <w:rFonts w:ascii="Times New Roman" w:hAnsi="Times New Roman"/>
          <w:sz w:val="22"/>
        </w:rPr>
        <w:t xml:space="preserve">   (Ec. 2.3 — Vogel (1968))</w:t>
      </w:r>
    </w:p>
    <w:p>
      <w:pPr>
        <w:spacing w:line="360" w:lineRule="auto" w:after="120"/>
        <w:ind w:firstLine="709"/>
        <w:jc w:val="both"/>
      </w:pPr>
      <w:r>
        <w:rPr>
          <w:rFonts w:ascii="Times New Roman" w:hAnsi="Times New Roman"/>
          <w:sz w:val="24"/>
        </w:rPr>
        <w:t>La correlación se ha verificado en yacimientos con cortes de agua inferiores al 50 % (Vogel, 1968; Hasan, 1990). La ecuación admite solución explícita (Brown, 1984):</w:t>
      </w:r>
    </w:p>
    <w:p>
      <w:pPr>
        <w:spacing w:before="120" w:after="120"/>
        <w:jc w:val="center"/>
      </w:pPr>
      <w:r>
        <w:rPr>
          <w:rFonts w:ascii="Cambria Math" w:hAnsi="Cambria Math"/>
          <w:i/>
          <w:sz w:val="24"/>
        </w:rPr>
        <w:t>P_wf = 0,125 × P̄_R × [−1 + √(81 − 80 × q/q_max)]</w:t>
      </w:r>
      <w:r>
        <w:rPr>
          <w:rFonts w:ascii="Times New Roman" w:hAnsi="Times New Roman"/>
          <w:sz w:val="22"/>
        </w:rPr>
        <w:t xml:space="preserve">   (Ec. 2.4)</w:t>
      </w:r>
    </w:p>
    <w:p>
      <w:pPr>
        <w:pStyle w:val="Heading3"/>
      </w:pPr>
      <w:r>
        <w:rPr>
          <w:rFonts w:ascii="Times New Roman" w:hAnsi="Times New Roman"/>
          <w:sz w:val="24"/>
        </w:rPr>
        <w:t>2.2.3 IPR Combinada (Standing)</w:t>
      </w:r>
    </w:p>
    <w:p>
      <w:pPr>
        <w:spacing w:line="360" w:lineRule="auto" w:after="120"/>
        <w:ind w:firstLine="709"/>
        <w:jc w:val="both"/>
      </w:pPr>
      <w:r>
        <w:rPr>
          <w:rFonts w:ascii="Times New Roman" w:hAnsi="Times New Roman"/>
          <w:sz w:val="24"/>
        </w:rPr>
        <w:t>Cuando P̄_R &gt; P_b pero P_wf cae por debajo, se aplica la combinación de Standing (1970):</w:t>
      </w:r>
    </w:p>
    <w:p>
      <w:pPr>
        <w:spacing w:line="360" w:lineRule="auto" w:after="120"/>
        <w:ind w:firstLine="709"/>
        <w:jc w:val="both"/>
      </w:pPr>
      <w:r>
        <w:rPr>
          <w:rFonts w:ascii="Times New Roman" w:hAnsi="Times New Roman"/>
          <w:sz w:val="24"/>
        </w:rPr>
        <w:t>• Tramo lineal (P_wf ≥ P_b):  q = J × (P̄_R − P_wf)</w:t>
      </w:r>
    </w:p>
    <w:p>
      <w:pPr>
        <w:spacing w:line="360" w:lineRule="auto" w:after="120"/>
        <w:ind w:firstLine="709"/>
        <w:jc w:val="both"/>
      </w:pPr>
      <w:r>
        <w:rPr>
          <w:rFonts w:ascii="Times New Roman" w:hAnsi="Times New Roman"/>
          <w:sz w:val="24"/>
        </w:rPr>
        <w:t>• Tramo Vogel (P_wf &lt; P_b):  q = q_b + (J × P_b / 1,8) × [1 − 0,2(P_wf/P_b) − 0,8(P_wf/P_b)²]</w:t>
      </w:r>
    </w:p>
    <w:p>
      <w:pPr>
        <w:spacing w:line="360" w:lineRule="auto" w:after="120"/>
        <w:ind w:firstLine="709"/>
        <w:jc w:val="both"/>
      </w:pPr>
      <w:r>
        <w:rPr>
          <w:rFonts w:ascii="Times New Roman" w:hAnsi="Times New Roman"/>
          <w:sz w:val="24"/>
        </w:rPr>
        <w:t>La continuidad en P_wf = P_b se garantiza por construcción (Standing, 1970; Hasan, 1990).</w:t>
      </w:r>
    </w:p>
    <w:p>
      <w:pPr>
        <w:pStyle w:val="Heading3"/>
      </w:pPr>
      <w:r>
        <w:rPr>
          <w:rFonts w:ascii="Times New Roman" w:hAnsi="Times New Roman"/>
          <w:sz w:val="24"/>
        </w:rPr>
        <w:t>2.2.4 IPR de Fetkovich</w:t>
      </w:r>
    </w:p>
    <w:p>
      <w:pPr>
        <w:spacing w:line="360" w:lineRule="auto" w:after="120"/>
        <w:ind w:firstLine="709"/>
        <w:jc w:val="both"/>
      </w:pPr>
      <w:r>
        <w:rPr>
          <w:rFonts w:ascii="Times New Roman" w:hAnsi="Times New Roman"/>
          <w:sz w:val="24"/>
        </w:rPr>
        <w:t>Fetkovich (1973) generalizó la ecuación de back-pressure usual en pozos de gas para pozos de petróleo:</w:t>
      </w:r>
    </w:p>
    <w:p>
      <w:pPr>
        <w:spacing w:before="120" w:after="120"/>
        <w:jc w:val="center"/>
      </w:pPr>
      <w:r>
        <w:rPr>
          <w:rFonts w:ascii="Cambria Math" w:hAnsi="Cambria Math"/>
          <w:i/>
          <w:sz w:val="24"/>
        </w:rPr>
        <w:t>q = C × (P̄_R² − P_wf²)ⁿ</w:t>
      </w:r>
      <w:r>
        <w:rPr>
          <w:rFonts w:ascii="Times New Roman" w:hAnsi="Times New Roman"/>
          <w:sz w:val="22"/>
        </w:rPr>
        <w:t xml:space="preserve">   (Ec. 2.5 — Fetkovich (1973))</w:t>
      </w:r>
    </w:p>
    <w:p>
      <w:pPr>
        <w:spacing w:line="360" w:lineRule="auto" w:after="120"/>
        <w:ind w:firstLine="709"/>
        <w:jc w:val="both"/>
      </w:pPr>
      <w:r>
        <w:rPr>
          <w:rFonts w:ascii="Times New Roman" w:hAnsi="Times New Roman"/>
          <w:sz w:val="24"/>
        </w:rPr>
        <w:t>Los coeficientes C y n se obtienen mediante test multi-rate. El exponente n captura el componente turbulento del flujo (Fetkovich, 1973; Jones, Blount y Glaze, 1976).</w:t>
      </w:r>
    </w:p>
    <w:p>
      <w:pPr>
        <w:spacing w:line="360" w:lineRule="auto" w:after="120"/>
        <w:ind w:firstLine="709"/>
        <w:jc w:val="both"/>
      </w:pPr>
      <w:r>
        <w:rPr>
          <w:rFonts w:ascii="Times New Roman" w:hAnsi="Times New Roman"/>
          <w:sz w:val="24"/>
        </w:rPr>
        <w:t>La Tabla 2.1 resume los métodos IPR implementados.</w:t>
      </w:r>
    </w:p>
    <w:p>
      <w:pPr>
        <w:spacing w:after="80"/>
        <w:jc w:val="center"/>
      </w:pPr>
      <w:r>
        <w:rPr>
          <w:rFonts w:ascii="Times New Roman" w:hAnsi="Times New Roman"/>
          <w:i/>
          <w:sz w:val="20"/>
        </w:rPr>
        <w:t>Tabla 2.1 — Comparación de los cuatro métodos IPR implementados en BES Designer.</w:t>
      </w:r>
    </w:p>
    <w:tbl>
      <w:tblPr>
        <w:tblStyle w:val="LightGrid-Accent1"/>
        <w:tblW w:type="auto" w:w="0"/>
        <w:tblLook w:firstColumn="1" w:firstRow="1" w:lastColumn="0" w:lastRow="0" w:noHBand="0" w:noVBand="1" w:val="04A0"/>
      </w:tblPr>
      <w:tblGrid>
        <w:gridCol w:w="2275"/>
        <w:gridCol w:w="2275"/>
        <w:gridCol w:w="2275"/>
        <w:gridCol w:w="2275"/>
      </w:tblGrid>
      <w:tr>
        <w:tc>
          <w:tcPr>
            <w:tcW w:type="dxa" w:w="2275"/>
          </w:tcPr>
          <w:p>
            <w:r>
              <w:rPr>
                <w:b/>
              </w:rPr>
              <w:t>Método</w:t>
            </w:r>
          </w:p>
        </w:tc>
        <w:tc>
          <w:tcPr>
            <w:tcW w:type="dxa" w:w="2275"/>
          </w:tcPr>
          <w:p>
            <w:r>
              <w:rPr>
                <w:b/>
              </w:rPr>
              <w:t>Aplicable cuando…</w:t>
            </w:r>
          </w:p>
        </w:tc>
        <w:tc>
          <w:tcPr>
            <w:tcW w:type="dxa" w:w="2275"/>
          </w:tcPr>
          <w:p>
            <w:r>
              <w:rPr>
                <w:b/>
              </w:rPr>
              <w:t>Datos requeridos</w:t>
            </w:r>
          </w:p>
        </w:tc>
        <w:tc>
          <w:tcPr>
            <w:tcW w:type="dxa" w:w="2275"/>
          </w:tcPr>
          <w:p>
            <w:r>
              <w:rPr>
                <w:b/>
              </w:rPr>
              <w:t>Referencia</w:t>
            </w:r>
          </w:p>
        </w:tc>
      </w:tr>
      <w:tr>
        <w:tc>
          <w:tcPr>
            <w:tcW w:type="dxa" w:w="2275"/>
          </w:tcPr>
          <w:p>
            <w:r>
              <w:t>Lineal (PI)</w:t>
            </w:r>
          </w:p>
        </w:tc>
        <w:tc>
          <w:tcPr>
            <w:tcW w:type="dxa" w:w="2275"/>
          </w:tcPr>
          <w:p>
            <w:r>
              <w:t>P_wf &gt; P_b siempre</w:t>
            </w:r>
          </w:p>
        </w:tc>
        <w:tc>
          <w:tcPr>
            <w:tcW w:type="dxa" w:w="2275"/>
          </w:tcPr>
          <w:p>
            <w:r>
              <w:t>J o k, h, μ_o, B_o</w:t>
            </w:r>
          </w:p>
        </w:tc>
        <w:tc>
          <w:tcPr>
            <w:tcW w:type="dxa" w:w="2275"/>
          </w:tcPr>
          <w:p>
            <w:r>
              <w:t>Darcy / Brown (1980)</w:t>
            </w:r>
          </w:p>
        </w:tc>
      </w:tr>
      <w:tr>
        <w:tc>
          <w:tcPr>
            <w:tcW w:type="dxa" w:w="2275"/>
          </w:tcPr>
          <w:p>
            <w:r>
              <w:t>Vogel</w:t>
            </w:r>
          </w:p>
        </w:tc>
        <w:tc>
          <w:tcPr>
            <w:tcW w:type="dxa" w:w="2275"/>
          </w:tcPr>
          <w:p>
            <w:r>
              <w:t>Reservorio saturado</w:t>
            </w:r>
          </w:p>
        </w:tc>
        <w:tc>
          <w:tcPr>
            <w:tcW w:type="dxa" w:w="2275"/>
          </w:tcPr>
          <w:p>
            <w:r>
              <w:t>P̄_R, q_max o test</w:t>
            </w:r>
          </w:p>
        </w:tc>
        <w:tc>
          <w:tcPr>
            <w:tcW w:type="dxa" w:w="2275"/>
          </w:tcPr>
          <w:p>
            <w:r>
              <w:t>Vogel (1968)</w:t>
            </w:r>
          </w:p>
        </w:tc>
      </w:tr>
      <w:tr>
        <w:tc>
          <w:tcPr>
            <w:tcW w:type="dxa" w:w="2275"/>
          </w:tcPr>
          <w:p>
            <w:r>
              <w:t>Combined (Standing)</w:t>
            </w:r>
          </w:p>
        </w:tc>
        <w:tc>
          <w:tcPr>
            <w:tcW w:type="dxa" w:w="2275"/>
          </w:tcPr>
          <w:p>
            <w:r>
              <w:t>P̄_R &gt; P_b pero P_wf &lt; P_b</w:t>
            </w:r>
          </w:p>
        </w:tc>
        <w:tc>
          <w:tcPr>
            <w:tcW w:type="dxa" w:w="2275"/>
          </w:tcPr>
          <w:p>
            <w:r>
              <w:t>J, P_b, P̄_R</w:t>
            </w:r>
          </w:p>
        </w:tc>
        <w:tc>
          <w:tcPr>
            <w:tcW w:type="dxa" w:w="2275"/>
          </w:tcPr>
          <w:p>
            <w:r>
              <w:t>Standing (1970)</w:t>
            </w:r>
          </w:p>
        </w:tc>
      </w:tr>
      <w:tr>
        <w:tc>
          <w:tcPr>
            <w:tcW w:type="dxa" w:w="2275"/>
          </w:tcPr>
          <w:p>
            <w:r>
              <w:t>Fetkovich</w:t>
            </w:r>
          </w:p>
        </w:tc>
        <w:tc>
          <w:tcPr>
            <w:tcW w:type="dxa" w:w="2275"/>
          </w:tcPr>
          <w:p>
            <w:r>
              <w:t>Test multi-rate disponible</w:t>
            </w:r>
          </w:p>
        </w:tc>
        <w:tc>
          <w:tcPr>
            <w:tcW w:type="dxa" w:w="2275"/>
          </w:tcPr>
          <w:p>
            <w:r>
              <w:t>P̄_R + 3-4 puntos test</w:t>
            </w:r>
          </w:p>
        </w:tc>
        <w:tc>
          <w:tcPr>
            <w:tcW w:type="dxa" w:w="2275"/>
          </w:tcPr>
          <w:p>
            <w:r>
              <w:t>Fetkovich (1973)</w:t>
            </w:r>
          </w:p>
        </w:tc>
      </w:tr>
    </w:tbl>
    <w:p/>
    <w:p>
      <w:pPr>
        <w:pStyle w:val="Heading2"/>
      </w:pPr>
      <w:r>
        <w:rPr>
          <w:rFonts w:ascii="Times New Roman" w:hAnsi="Times New Roman"/>
          <w:sz w:val="28"/>
        </w:rPr>
        <w:t>2.3 PROPIEDADES PVT DEL FLUIDO</w:t>
      </w:r>
    </w:p>
    <w:p>
      <w:pPr>
        <w:spacing w:line="360" w:lineRule="auto" w:after="120"/>
        <w:ind w:firstLine="709"/>
        <w:jc w:val="both"/>
      </w:pPr>
      <w:r>
        <w:rPr>
          <w:rFonts w:ascii="Times New Roman" w:hAnsi="Times New Roman"/>
          <w:sz w:val="24"/>
        </w:rPr>
        <w:t>El cálculo del perfil de presión multifásico requiere conocer las propiedades PVT del fluido producido como función de P y T (Brown, 1980). Cuando no se dispone de análisis PVT de laboratorio, se recurre a correlaciones empíricas (Standing, 1947; Dranchuk y Abou-Kassem, 1975).</w:t>
      </w:r>
    </w:p>
    <w:p>
      <w:pPr>
        <w:pStyle w:val="Heading3"/>
      </w:pPr>
      <w:r>
        <w:rPr>
          <w:rFonts w:ascii="Times New Roman" w:hAnsi="Times New Roman"/>
          <w:sz w:val="24"/>
        </w:rPr>
        <w:t>2.3.1 Correlación de Standing</w:t>
      </w:r>
    </w:p>
    <w:p>
      <w:pPr>
        <w:spacing w:line="360" w:lineRule="auto" w:after="120"/>
        <w:ind w:firstLine="709"/>
        <w:jc w:val="both"/>
      </w:pPr>
      <w:r>
        <w:rPr>
          <w:rFonts w:ascii="Times New Roman" w:hAnsi="Times New Roman"/>
          <w:sz w:val="24"/>
        </w:rPr>
        <w:t>Standing (1947) propuso la siguiente correlación, válida para P ≤ P_b:</w:t>
      </w:r>
    </w:p>
    <w:p>
      <w:pPr>
        <w:spacing w:before="120" w:after="120"/>
        <w:jc w:val="center"/>
      </w:pPr>
      <w:r>
        <w:rPr>
          <w:rFonts w:ascii="Cambria Math" w:hAnsi="Cambria Math"/>
          <w:i/>
          <w:sz w:val="24"/>
        </w:rPr>
        <w:t>R_s = γ_g × {[P/18,2 + 1,4] × 10^(0,0125 × API − 0,00091 × T)}^1,2048</w:t>
      </w:r>
      <w:r>
        <w:rPr>
          <w:rFonts w:ascii="Times New Roman" w:hAnsi="Times New Roman"/>
          <w:sz w:val="22"/>
        </w:rPr>
        <w:t xml:space="preserve">   (Ec. 2.6 — Standing (1947))</w:t>
      </w:r>
    </w:p>
    <w:p>
      <w:pPr>
        <w:spacing w:line="360" w:lineRule="auto" w:after="120"/>
        <w:ind w:firstLine="709"/>
        <w:jc w:val="both"/>
      </w:pPr>
      <w:r>
        <w:rPr>
          <w:rFonts w:ascii="Times New Roman" w:hAnsi="Times New Roman"/>
          <w:sz w:val="24"/>
        </w:rPr>
        <w:t>El factor volumétrico del petróleo se calcula a partir de R_s (Standing, 1947):</w:t>
      </w:r>
    </w:p>
    <w:p>
      <w:pPr>
        <w:spacing w:before="120" w:after="120"/>
        <w:jc w:val="center"/>
      </w:pPr>
      <w:r>
        <w:rPr>
          <w:rFonts w:ascii="Cambria Math" w:hAnsi="Cambria Math"/>
          <w:i/>
          <w:sz w:val="24"/>
        </w:rPr>
        <w:t>B_o = 0,9759 + 0,00012 × [R_s × (γ_g/γ_o)^0,5 + 1,25 × T]^1,2</w:t>
      </w:r>
      <w:r>
        <w:rPr>
          <w:rFonts w:ascii="Times New Roman" w:hAnsi="Times New Roman"/>
          <w:sz w:val="22"/>
        </w:rPr>
        <w:t xml:space="preserve">   (Ec. 2.7)</w:t>
      </w:r>
    </w:p>
    <w:p>
      <w:pPr>
        <w:pStyle w:val="Heading3"/>
      </w:pPr>
      <w:r>
        <w:rPr>
          <w:rFonts w:ascii="Times New Roman" w:hAnsi="Times New Roman"/>
          <w:sz w:val="24"/>
        </w:rPr>
        <w:t>2.3.2 Factor de Compresibilidad del Gas</w:t>
      </w:r>
    </w:p>
    <w:p>
      <w:pPr>
        <w:spacing w:line="360" w:lineRule="auto" w:after="120"/>
        <w:ind w:firstLine="709"/>
        <w:jc w:val="both"/>
      </w:pPr>
      <w:r>
        <w:rPr>
          <w:rFonts w:ascii="Times New Roman" w:hAnsi="Times New Roman"/>
          <w:sz w:val="24"/>
        </w:rPr>
        <w:t>El factor Z del gas natural se calcula mediante la correlación de Dranchuk y Abou-Kassem (1975), basada en el ajuste de la ecuación de Standing-Katz. El factor volumétrico del gas se obtiene mediante (Brown, 1980):</w:t>
      </w:r>
    </w:p>
    <w:p>
      <w:pPr>
        <w:spacing w:before="120" w:after="120"/>
        <w:jc w:val="center"/>
      </w:pPr>
      <w:r>
        <w:rPr>
          <w:rFonts w:ascii="Cambria Math" w:hAnsi="Cambria Math"/>
          <w:i/>
          <w:sz w:val="24"/>
        </w:rPr>
        <w:t>B_g = 0,00504 × Z × (T + 460) / P    [rb/scf]</w:t>
      </w:r>
      <w:r>
        <w:rPr>
          <w:rFonts w:ascii="Times New Roman" w:hAnsi="Times New Roman"/>
          <w:sz w:val="22"/>
        </w:rPr>
        <w:t xml:space="preserve">   (Ec. 2.8)</w:t>
      </w:r>
    </w:p>
    <w:p>
      <w:pPr>
        <w:pStyle w:val="Heading3"/>
      </w:pPr>
      <w:r>
        <w:rPr>
          <w:rFonts w:ascii="Times New Roman" w:hAnsi="Times New Roman"/>
          <w:sz w:val="24"/>
        </w:rPr>
        <w:t>2.3.3 Viscosidad del Petróleo</w:t>
      </w:r>
    </w:p>
    <w:p>
      <w:pPr>
        <w:spacing w:line="360" w:lineRule="auto" w:after="120"/>
        <w:ind w:firstLine="709"/>
        <w:jc w:val="both"/>
      </w:pPr>
      <w:r>
        <w:rPr>
          <w:rFonts w:ascii="Times New Roman" w:hAnsi="Times New Roman"/>
          <w:sz w:val="24"/>
        </w:rPr>
        <w:t>La viscosidad del petróleo muerto se estima mediante Beggs y Robinson (1975):</w:t>
      </w:r>
    </w:p>
    <w:p>
      <w:pPr>
        <w:spacing w:before="120" w:after="120"/>
        <w:jc w:val="center"/>
      </w:pPr>
      <w:r>
        <w:rPr>
          <w:rFonts w:ascii="Cambria Math" w:hAnsi="Cambria Math"/>
          <w:i/>
          <w:sz w:val="24"/>
        </w:rPr>
        <w:t>μ_od = 10^X − 1   con  X = 10^(3,0324 − 0,02023 × API) × T^(−1,163)</w:t>
      </w:r>
      <w:r>
        <w:rPr>
          <w:rFonts w:ascii="Times New Roman" w:hAnsi="Times New Roman"/>
          <w:sz w:val="22"/>
        </w:rPr>
        <w:t xml:space="preserve">   (Ec. 2.9 — Beggs y Robinson (1975))</w:t>
      </w:r>
    </w:p>
    <w:p>
      <w:pPr>
        <w:pStyle w:val="Heading2"/>
      </w:pPr>
      <w:r>
        <w:rPr>
          <w:rFonts w:ascii="Times New Roman" w:hAnsi="Times New Roman"/>
          <w:sz w:val="28"/>
        </w:rPr>
        <w:t>2.4 FLUJO MULTIFÁSICO VERTICAL</w:t>
      </w:r>
    </w:p>
    <w:p>
      <w:pPr>
        <w:spacing w:line="360" w:lineRule="auto" w:after="120"/>
        <w:ind w:firstLine="709"/>
        <w:jc w:val="both"/>
      </w:pPr>
      <w:r>
        <w:rPr>
          <w:rFonts w:ascii="Times New Roman" w:hAnsi="Times New Roman"/>
          <w:sz w:val="24"/>
        </w:rPr>
        <w:t>El perfil de presión a lo largo de la columna de producción se calcula integrando la ecuación general del flujo en tubería (Brown, 1984; Brill y Mukherjee, 1999):</w:t>
      </w:r>
    </w:p>
    <w:p>
      <w:pPr>
        <w:spacing w:before="120" w:after="120"/>
        <w:jc w:val="center"/>
      </w:pPr>
      <w:r>
        <w:rPr>
          <w:rFonts w:ascii="Cambria Math" w:hAnsi="Cambria Math"/>
          <w:i/>
          <w:sz w:val="24"/>
        </w:rPr>
        <w:t>dP/dZ = (ρ_m × sen θ)/g_c + (f × ρ_m × V_m²)/(2 × g_c × d) + (ρ_m × V_m × dV_m)/(g_c × dZ)</w:t>
      </w:r>
      <w:r>
        <w:rPr>
          <w:rFonts w:ascii="Times New Roman" w:hAnsi="Times New Roman"/>
          <w:sz w:val="22"/>
        </w:rPr>
        <w:t xml:space="preserve">   (Ec. 2.10)</w:t>
      </w:r>
    </w:p>
    <w:p>
      <w:pPr>
        <w:spacing w:line="360" w:lineRule="auto" w:after="120"/>
        <w:ind w:firstLine="709"/>
        <w:jc w:val="both"/>
      </w:pPr>
      <w:r>
        <w:rPr>
          <w:rFonts w:ascii="Times New Roman" w:hAnsi="Times New Roman"/>
          <w:sz w:val="24"/>
        </w:rPr>
        <w:t>El primer término corresponde a la pérdida por elevación, que aporta entre el 70 % y el 98 % de la pérdida total en flujo vertical (Hagedorn y Brown, 1965).</w:t>
      </w:r>
    </w:p>
    <w:p>
      <w:pPr>
        <w:pStyle w:val="Heading3"/>
      </w:pPr>
      <w:r>
        <w:rPr>
          <w:rFonts w:ascii="Times New Roman" w:hAnsi="Times New Roman"/>
          <w:sz w:val="24"/>
        </w:rPr>
        <w:t>2.4.1 Correlación de Hagedorn y Brown</w:t>
      </w:r>
    </w:p>
    <w:p>
      <w:pPr>
        <w:spacing w:line="360" w:lineRule="auto" w:after="120"/>
        <w:ind w:firstLine="709"/>
        <w:jc w:val="both"/>
      </w:pPr>
      <w:r>
        <w:rPr>
          <w:rFonts w:ascii="Times New Roman" w:hAnsi="Times New Roman"/>
          <w:sz w:val="24"/>
        </w:rPr>
        <w:t>La correlación de Hagedorn y Brown (1965) constituye la herramienta más utilizada en la industria para flujo vertical bifásico. La densidad de la mezcla se calcula a partir del holdup (Brown, 1984):</w:t>
      </w:r>
    </w:p>
    <w:p>
      <w:pPr>
        <w:spacing w:before="120" w:after="120"/>
        <w:jc w:val="center"/>
      </w:pPr>
      <w:r>
        <w:rPr>
          <w:rFonts w:ascii="Cambria Math" w:hAnsi="Cambria Math"/>
          <w:i/>
          <w:sz w:val="24"/>
        </w:rPr>
        <w:t>ρ_m = ρ_L × H_L + ρ_g × (1 − H_L)</w:t>
      </w:r>
      <w:r>
        <w:rPr>
          <w:rFonts w:ascii="Times New Roman" w:hAnsi="Times New Roman"/>
          <w:sz w:val="22"/>
        </w:rPr>
        <w:t xml:space="preserve">   (Ec. 2.11)</w:t>
      </w:r>
    </w:p>
    <w:p>
      <w:pPr>
        <w:pStyle w:val="Heading3"/>
      </w:pPr>
      <w:r>
        <w:rPr>
          <w:rFonts w:ascii="Times New Roman" w:hAnsi="Times New Roman"/>
          <w:sz w:val="24"/>
        </w:rPr>
        <w:t>2.4.2 Correlación de Beggs y Brill</w:t>
      </w:r>
    </w:p>
    <w:p>
      <w:pPr>
        <w:spacing w:line="360" w:lineRule="auto" w:after="120"/>
        <w:ind w:firstLine="709"/>
        <w:jc w:val="both"/>
      </w:pPr>
      <w:r>
        <w:rPr>
          <w:rFonts w:ascii="Times New Roman" w:hAnsi="Times New Roman"/>
          <w:sz w:val="24"/>
        </w:rPr>
        <w:t>Beggs y Brill (1973) extiende el análisis multifásico a tuberías con cualquier ángulo de inclinación, clasificando el flujo en cuatro patrones (segregado, intermitente, distribuido, transición). Es la correlación recomendada para pozos desviados (Brill y Mukherjee, 1999).</w:t>
      </w:r>
    </w:p>
    <w:p>
      <w:pPr>
        <w:spacing w:line="360" w:lineRule="auto" w:after="120"/>
        <w:ind w:firstLine="709"/>
        <w:jc w:val="both"/>
      </w:pPr>
      <w:r>
        <w:rPr>
          <w:rFonts w:ascii="Times New Roman" w:hAnsi="Times New Roman"/>
          <w:sz w:val="24"/>
        </w:rPr>
        <w:t>Alternativamente, Orkiszewski (1967) propuso una correlación basada en un esquema distinto, también ampliamente validada.</w:t>
      </w:r>
    </w:p>
    <w:p>
      <w:pPr>
        <w:jc w:val="center"/>
      </w:pPr>
      <w:r>
        <w:drawing>
          <wp:inline xmlns:a="http://schemas.openxmlformats.org/drawingml/2006/main" xmlns:pic="http://schemas.openxmlformats.org/drawingml/2006/picture">
            <wp:extent cx="4572000" cy="3851130"/>
            <wp:docPr id="4" name="Picture 4"/>
            <wp:cNvGraphicFramePr>
              <a:graphicFrameLocks noChangeAspect="1"/>
            </wp:cNvGraphicFramePr>
            <a:graphic>
              <a:graphicData uri="http://schemas.openxmlformats.org/drawingml/2006/picture">
                <pic:pic>
                  <pic:nvPicPr>
                    <pic:cNvPr id="0" name="fig_multiphase.png"/>
                    <pic:cNvPicPr/>
                  </pic:nvPicPr>
                  <pic:blipFill>
                    <a:blip r:embed="rId12"/>
                    <a:stretch>
                      <a:fillRect/>
                    </a:stretch>
                  </pic:blipFill>
                  <pic:spPr>
                    <a:xfrm>
                      <a:off x="0" y="0"/>
                      <a:ext cx="4572000" cy="3851130"/>
                    </a:xfrm>
                    <a:prstGeom prst="rect"/>
                  </pic:spPr>
                </pic:pic>
              </a:graphicData>
            </a:graphic>
          </wp:inline>
        </w:drawing>
      </w:r>
    </w:p>
    <w:p>
      <w:pPr>
        <w:spacing w:after="200"/>
        <w:jc w:val="center"/>
      </w:pPr>
      <w:r>
        <w:rPr>
          <w:rFonts w:ascii="Times New Roman" w:hAnsi="Times New Roman"/>
          <w:i/>
          <w:sz w:val="20"/>
        </w:rPr>
        <w:t>Figura 2.2 — Comparación cualitativa de las cuatro principales correlaciones de flujo multifásico vertical implementadas en la herramienta.</w:t>
      </w:r>
    </w:p>
    <w:p>
      <w:pPr>
        <w:pStyle w:val="Heading2"/>
      </w:pPr>
      <w:r>
        <w:rPr>
          <w:rFonts w:ascii="Times New Roman" w:hAnsi="Times New Roman"/>
          <w:sz w:val="28"/>
        </w:rPr>
        <w:t>2.5 CARGA TOTAL DINÁMICA (TDH)</w:t>
      </w:r>
    </w:p>
    <w:p>
      <w:pPr>
        <w:spacing w:line="360" w:lineRule="auto" w:after="120"/>
        <w:ind w:firstLine="709"/>
        <w:jc w:val="both"/>
      </w:pPr>
      <w:r>
        <w:rPr>
          <w:rFonts w:ascii="Times New Roman" w:hAnsi="Times New Roman"/>
          <w:sz w:val="24"/>
        </w:rPr>
        <w:t>La Carga Total Dinámica representa la energía total que la bomba debe suministrar al fluido. La ecuación general (Brown, 1984, §4.5324):</w:t>
      </w:r>
    </w:p>
    <w:p>
      <w:pPr>
        <w:spacing w:before="120" w:after="120"/>
        <w:jc w:val="center"/>
      </w:pPr>
      <w:r>
        <w:rPr>
          <w:rFonts w:ascii="Cambria Math" w:hAnsi="Cambria Math"/>
          <w:i/>
          <w:sz w:val="24"/>
        </w:rPr>
        <w:t>TDH = H_lift + H_friction + H_wellhead</w:t>
      </w:r>
      <w:r>
        <w:rPr>
          <w:rFonts w:ascii="Times New Roman" w:hAnsi="Times New Roman"/>
          <w:sz w:val="22"/>
        </w:rPr>
        <w:t xml:space="preserve">   (Ec. 2.12)</w:t>
      </w:r>
    </w:p>
    <w:p>
      <w:pPr>
        <w:spacing w:line="360" w:lineRule="auto" w:after="120"/>
        <w:ind w:firstLine="709"/>
        <w:jc w:val="both"/>
      </w:pPr>
      <w:r>
        <w:rPr>
          <w:rFonts w:ascii="Times New Roman" w:hAnsi="Times New Roman"/>
          <w:sz w:val="24"/>
        </w:rPr>
        <w:t>donde:</w:t>
      </w:r>
    </w:p>
    <w:p>
      <w:pPr>
        <w:spacing w:before="120" w:after="120"/>
        <w:jc w:val="center"/>
      </w:pPr>
      <w:r>
        <w:rPr>
          <w:rFonts w:ascii="Cambria Math" w:hAnsi="Cambria Math"/>
          <w:i/>
          <w:sz w:val="24"/>
        </w:rPr>
        <w:t>H_lift = D_pump − (P_intake × 2,31 / γ_liq)</w:t>
      </w:r>
      <w:r>
        <w:rPr>
          <w:rFonts w:ascii="Times New Roman" w:hAnsi="Times New Roman"/>
          <w:sz w:val="22"/>
        </w:rPr>
        <w:t xml:space="preserve">   (Ec. 2.13)</w:t>
      </w:r>
    </w:p>
    <w:p>
      <w:pPr>
        <w:spacing w:before="120" w:after="120"/>
        <w:jc w:val="center"/>
      </w:pPr>
      <w:r>
        <w:rPr>
          <w:rFonts w:ascii="Cambria Math" w:hAnsi="Cambria Math"/>
          <w:i/>
          <w:sz w:val="24"/>
        </w:rPr>
        <w:t>H_friction = 0,2083 × (100/C)^1,852 × q_gpm^1,852 / d^4,8655 × (L/100)</w:t>
      </w:r>
      <w:r>
        <w:rPr>
          <w:rFonts w:ascii="Times New Roman" w:hAnsi="Times New Roman"/>
          <w:sz w:val="22"/>
        </w:rPr>
        <w:t xml:space="preserve">   (Ec. 2.14)</w:t>
      </w:r>
    </w:p>
    <w:p>
      <w:pPr>
        <w:spacing w:before="120" w:after="120"/>
        <w:jc w:val="center"/>
      </w:pPr>
      <w:r>
        <w:rPr>
          <w:rFonts w:ascii="Cambria Math" w:hAnsi="Cambria Math"/>
          <w:i/>
          <w:sz w:val="24"/>
        </w:rPr>
        <w:t>H_wellhead = P_wh × 2,31 / γ_liq</w:t>
      </w:r>
      <w:r>
        <w:rPr>
          <w:rFonts w:ascii="Times New Roman" w:hAnsi="Times New Roman"/>
          <w:sz w:val="22"/>
        </w:rPr>
        <w:t xml:space="preserve">   (Ec. 2.15)</w:t>
      </w:r>
    </w:p>
    <w:p>
      <w:pPr>
        <w:spacing w:line="360" w:lineRule="auto" w:after="120"/>
        <w:ind w:firstLine="709"/>
        <w:jc w:val="both"/>
      </w:pPr>
      <w:r>
        <w:rPr>
          <w:rFonts w:ascii="Times New Roman" w:hAnsi="Times New Roman"/>
          <w:sz w:val="24"/>
        </w:rPr>
        <w:t>En pozos con gas, donde la densidad varía con la profundidad, el cálculo se realiza en psi y se convierte a pies como paso final (Brown, 1984, §4.531).</w:t>
      </w:r>
    </w:p>
    <w:p>
      <w:pPr>
        <w:pStyle w:val="Heading2"/>
      </w:pPr>
      <w:r>
        <w:rPr>
          <w:rFonts w:ascii="Times New Roman" w:hAnsi="Times New Roman"/>
          <w:sz w:val="28"/>
        </w:rPr>
        <w:t>2.6 SELECCIÓN DE BOMBA Y NÚMERO DE ETAPAS</w:t>
      </w:r>
    </w:p>
    <w:p>
      <w:pPr>
        <w:spacing w:line="360" w:lineRule="auto" w:after="120"/>
        <w:ind w:firstLine="709"/>
        <w:jc w:val="both"/>
      </w:pPr>
      <w:r>
        <w:rPr>
          <w:rFonts w:ascii="Times New Roman" w:hAnsi="Times New Roman"/>
          <w:sz w:val="24"/>
        </w:rPr>
        <w:t>Una vez calculados el caudal de operación y el TDH, la selección se realiza mediante el procedimiento ordenado (Brown, 1984, §4.5327; Takacs, 2009):</w:t>
      </w:r>
    </w:p>
    <w:p>
      <w:pPr>
        <w:spacing w:line="360" w:lineRule="auto" w:after="120"/>
        <w:ind w:firstLine="709"/>
        <w:jc w:val="both"/>
      </w:pPr>
      <w:r>
        <w:rPr>
          <w:rFonts w:ascii="Times New Roman" w:hAnsi="Times New Roman"/>
          <w:sz w:val="24"/>
        </w:rPr>
        <w:t>1. Filtrado por compatibilidad geométrica: OD bomba &lt; ID casing (Schlumberger Reda, 2015).</w:t>
      </w:r>
    </w:p>
    <w:p>
      <w:pPr>
        <w:spacing w:line="360" w:lineRule="auto" w:after="120"/>
        <w:ind w:firstLine="709"/>
        <w:jc w:val="both"/>
      </w:pPr>
      <w:r>
        <w:rPr>
          <w:rFonts w:ascii="Times New Roman" w:hAnsi="Times New Roman"/>
          <w:sz w:val="24"/>
        </w:rPr>
        <w:t>2. Filtrado por rango operativo de caudal — idealmente ±20 % del BEP (Brown, 1984).</w:t>
      </w:r>
    </w:p>
    <w:p>
      <w:pPr>
        <w:spacing w:line="360" w:lineRule="auto" w:after="120"/>
        <w:ind w:firstLine="709"/>
        <w:jc w:val="both"/>
      </w:pPr>
      <w:r>
        <w:rPr>
          <w:rFonts w:ascii="Times New Roman" w:hAnsi="Times New Roman"/>
          <w:sz w:val="24"/>
        </w:rPr>
        <w:t>3. Interpolación de la curva del fabricante al caudal de operación (Takacs, 2009).</w:t>
      </w:r>
    </w:p>
    <w:p>
      <w:pPr>
        <w:spacing w:line="360" w:lineRule="auto" w:after="120"/>
        <w:ind w:firstLine="709"/>
        <w:jc w:val="both"/>
      </w:pPr>
      <w:r>
        <w:rPr>
          <w:rFonts w:ascii="Times New Roman" w:hAnsi="Times New Roman"/>
          <w:sz w:val="24"/>
        </w:rPr>
        <w:t>4. Cálculo del número de etapas (Brown, 1984):</w:t>
      </w:r>
    </w:p>
    <w:p>
      <w:pPr>
        <w:spacing w:before="120" w:after="120"/>
        <w:jc w:val="center"/>
      </w:pPr>
      <w:r>
        <w:rPr>
          <w:rFonts w:ascii="Cambria Math" w:hAnsi="Cambria Math"/>
          <w:i/>
          <w:sz w:val="24"/>
        </w:rPr>
        <w:t>n_etapas = TDH / (head/etapa)   [redondeo al entero superior]</w:t>
      </w:r>
      <w:r>
        <w:rPr>
          <w:rFonts w:ascii="Times New Roman" w:hAnsi="Times New Roman"/>
          <w:sz w:val="22"/>
        </w:rPr>
        <w:t xml:space="preserve">   (Ec. 2.16)</w:t>
      </w:r>
    </w:p>
    <w:p>
      <w:pPr>
        <w:spacing w:line="360" w:lineRule="auto" w:after="120"/>
        <w:ind w:firstLine="709"/>
        <w:jc w:val="both"/>
      </w:pPr>
      <w:r>
        <w:rPr>
          <w:rFonts w:ascii="Times New Roman" w:hAnsi="Times New Roman"/>
          <w:sz w:val="24"/>
        </w:rPr>
        <w:t>5. Cálculo de la potencia del motor mediante la ecuación 1.1.</w:t>
      </w:r>
    </w:p>
    <w:p>
      <w:pPr>
        <w:spacing w:line="360" w:lineRule="auto" w:after="120"/>
        <w:ind w:firstLine="709"/>
        <w:jc w:val="both"/>
      </w:pPr>
      <w:r>
        <w:rPr>
          <w:rFonts w:ascii="Times New Roman" w:hAnsi="Times New Roman"/>
          <w:sz w:val="24"/>
        </w:rPr>
        <w:t>6. Aplicación de las correcciones por viscosidad del estándar HI 9.6.7 si la viscosidad supera 100 SSU (Hydraulic Institute, 2010).</w:t>
      </w:r>
    </w:p>
    <w:p>
      <w:pPr>
        <w:spacing w:line="360" w:lineRule="auto" w:after="120"/>
        <w:ind w:firstLine="709"/>
        <w:jc w:val="both"/>
      </w:pPr>
      <w:r>
        <w:rPr>
          <w:rFonts w:ascii="Times New Roman" w:hAnsi="Times New Roman"/>
          <w:sz w:val="24"/>
        </w:rPr>
        <w:t>La Tabla 2.2 reúne los factores HI aplicables a bombas centrífugas BES.</w:t>
      </w:r>
    </w:p>
    <w:p>
      <w:pPr>
        <w:spacing w:after="80"/>
        <w:jc w:val="center"/>
      </w:pPr>
      <w:r>
        <w:rPr>
          <w:rFonts w:ascii="Times New Roman" w:hAnsi="Times New Roman"/>
          <w:i/>
          <w:sz w:val="20"/>
        </w:rPr>
        <w:t>Tabla 2.2 — Factores de corrección por viscosidad del Hydraulic Institute (HI 9.6.7). Fuente: Hydraulic Institute (2010).</w:t>
      </w:r>
    </w:p>
    <w:tbl>
      <w:tblPr>
        <w:tblStyle w:val="LightGrid-Accent1"/>
        <w:tblW w:type="auto" w:w="0"/>
        <w:tblLook w:firstColumn="1" w:firstRow="1" w:lastColumn="0" w:lastRow="0" w:noHBand="0" w:noVBand="1" w:val="04A0"/>
      </w:tblPr>
      <w:tblGrid>
        <w:gridCol w:w="2275"/>
        <w:gridCol w:w="2275"/>
        <w:gridCol w:w="2275"/>
        <w:gridCol w:w="2275"/>
      </w:tblGrid>
      <w:tr>
        <w:tc>
          <w:tcPr>
            <w:tcW w:type="dxa" w:w="2275"/>
          </w:tcPr>
          <w:p>
            <w:r>
              <w:rPr>
                <w:b/>
              </w:rPr>
              <w:t>Viscosidad (cSt)</w:t>
            </w:r>
          </w:p>
        </w:tc>
        <w:tc>
          <w:tcPr>
            <w:tcW w:type="dxa" w:w="2275"/>
          </w:tcPr>
          <w:p>
            <w:r>
              <w:rPr>
                <w:b/>
              </w:rPr>
              <w:t>C_Q (capacidad)</w:t>
            </w:r>
          </w:p>
        </w:tc>
        <w:tc>
          <w:tcPr>
            <w:tcW w:type="dxa" w:w="2275"/>
          </w:tcPr>
          <w:p>
            <w:r>
              <w:rPr>
                <w:b/>
              </w:rPr>
              <w:t>C_H (head)</w:t>
            </w:r>
          </w:p>
        </w:tc>
        <w:tc>
          <w:tcPr>
            <w:tcW w:type="dxa" w:w="2275"/>
          </w:tcPr>
          <w:p>
            <w:r>
              <w:rPr>
                <w:b/>
              </w:rPr>
              <w:t>C_E (eficiencia)</w:t>
            </w:r>
          </w:p>
        </w:tc>
      </w:tr>
      <w:tr>
        <w:tc>
          <w:tcPr>
            <w:tcW w:type="dxa" w:w="2275"/>
          </w:tcPr>
          <w:p>
            <w:r>
              <w:t>1</w:t>
            </w:r>
          </w:p>
        </w:tc>
        <w:tc>
          <w:tcPr>
            <w:tcW w:type="dxa" w:w="2275"/>
          </w:tcPr>
          <w:p>
            <w:r>
              <w:t>1,00</w:t>
            </w:r>
          </w:p>
        </w:tc>
        <w:tc>
          <w:tcPr>
            <w:tcW w:type="dxa" w:w="2275"/>
          </w:tcPr>
          <w:p>
            <w:r>
              <w:t>1,00</w:t>
            </w:r>
          </w:p>
        </w:tc>
        <w:tc>
          <w:tcPr>
            <w:tcW w:type="dxa" w:w="2275"/>
          </w:tcPr>
          <w:p>
            <w:r>
              <w:t>1,00</w:t>
            </w:r>
          </w:p>
        </w:tc>
      </w:tr>
      <w:tr>
        <w:tc>
          <w:tcPr>
            <w:tcW w:type="dxa" w:w="2275"/>
          </w:tcPr>
          <w:p>
            <w:r>
              <w:t>5</w:t>
            </w:r>
          </w:p>
        </w:tc>
        <w:tc>
          <w:tcPr>
            <w:tcW w:type="dxa" w:w="2275"/>
          </w:tcPr>
          <w:p>
            <w:r>
              <w:t>1,00</w:t>
            </w:r>
          </w:p>
        </w:tc>
        <w:tc>
          <w:tcPr>
            <w:tcW w:type="dxa" w:w="2275"/>
          </w:tcPr>
          <w:p>
            <w:r>
              <w:t>0,99</w:t>
            </w:r>
          </w:p>
        </w:tc>
        <w:tc>
          <w:tcPr>
            <w:tcW w:type="dxa" w:w="2275"/>
          </w:tcPr>
          <w:p>
            <w:r>
              <w:t>0,98</w:t>
            </w:r>
          </w:p>
        </w:tc>
      </w:tr>
      <w:tr>
        <w:tc>
          <w:tcPr>
            <w:tcW w:type="dxa" w:w="2275"/>
          </w:tcPr>
          <w:p>
            <w:r>
              <w:t>10</w:t>
            </w:r>
          </w:p>
        </w:tc>
        <w:tc>
          <w:tcPr>
            <w:tcW w:type="dxa" w:w="2275"/>
          </w:tcPr>
          <w:p>
            <w:r>
              <w:t>0,98</w:t>
            </w:r>
          </w:p>
        </w:tc>
        <w:tc>
          <w:tcPr>
            <w:tcW w:type="dxa" w:w="2275"/>
          </w:tcPr>
          <w:p>
            <w:r>
              <w:t>0,97</w:t>
            </w:r>
          </w:p>
        </w:tc>
        <w:tc>
          <w:tcPr>
            <w:tcW w:type="dxa" w:w="2275"/>
          </w:tcPr>
          <w:p>
            <w:r>
              <w:t>0,95</w:t>
            </w:r>
          </w:p>
        </w:tc>
      </w:tr>
      <w:tr>
        <w:tc>
          <w:tcPr>
            <w:tcW w:type="dxa" w:w="2275"/>
          </w:tcPr>
          <w:p>
            <w:r>
              <w:t>20</w:t>
            </w:r>
          </w:p>
        </w:tc>
        <w:tc>
          <w:tcPr>
            <w:tcW w:type="dxa" w:w="2275"/>
          </w:tcPr>
          <w:p>
            <w:r>
              <w:t>0,97</w:t>
            </w:r>
          </w:p>
        </w:tc>
        <w:tc>
          <w:tcPr>
            <w:tcW w:type="dxa" w:w="2275"/>
          </w:tcPr>
          <w:p>
            <w:r>
              <w:t>0,94</w:t>
            </w:r>
          </w:p>
        </w:tc>
        <w:tc>
          <w:tcPr>
            <w:tcW w:type="dxa" w:w="2275"/>
          </w:tcPr>
          <w:p>
            <w:r>
              <w:t>0,90</w:t>
            </w:r>
          </w:p>
        </w:tc>
      </w:tr>
      <w:tr>
        <w:tc>
          <w:tcPr>
            <w:tcW w:type="dxa" w:w="2275"/>
          </w:tcPr>
          <w:p>
            <w:r>
              <w:t>50</w:t>
            </w:r>
          </w:p>
        </w:tc>
        <w:tc>
          <w:tcPr>
            <w:tcW w:type="dxa" w:w="2275"/>
          </w:tcPr>
          <w:p>
            <w:r>
              <w:t>0,95</w:t>
            </w:r>
          </w:p>
        </w:tc>
        <w:tc>
          <w:tcPr>
            <w:tcW w:type="dxa" w:w="2275"/>
          </w:tcPr>
          <w:p>
            <w:r>
              <w:t>0,89</w:t>
            </w:r>
          </w:p>
        </w:tc>
        <w:tc>
          <w:tcPr>
            <w:tcW w:type="dxa" w:w="2275"/>
          </w:tcPr>
          <w:p>
            <w:r>
              <w:t>0,81</w:t>
            </w:r>
          </w:p>
        </w:tc>
      </w:tr>
      <w:tr>
        <w:tc>
          <w:tcPr>
            <w:tcW w:type="dxa" w:w="2275"/>
          </w:tcPr>
          <w:p>
            <w:r>
              <w:t>100</w:t>
            </w:r>
          </w:p>
        </w:tc>
        <w:tc>
          <w:tcPr>
            <w:tcW w:type="dxa" w:w="2275"/>
          </w:tcPr>
          <w:p>
            <w:r>
              <w:t>0,92</w:t>
            </w:r>
          </w:p>
        </w:tc>
        <w:tc>
          <w:tcPr>
            <w:tcW w:type="dxa" w:w="2275"/>
          </w:tcPr>
          <w:p>
            <w:r>
              <w:t>0,83</w:t>
            </w:r>
          </w:p>
        </w:tc>
        <w:tc>
          <w:tcPr>
            <w:tcW w:type="dxa" w:w="2275"/>
          </w:tcPr>
          <w:p>
            <w:r>
              <w:t>0,72</w:t>
            </w:r>
          </w:p>
        </w:tc>
      </w:tr>
      <w:tr>
        <w:tc>
          <w:tcPr>
            <w:tcW w:type="dxa" w:w="2275"/>
          </w:tcPr>
          <w:p>
            <w:r>
              <w:t>200</w:t>
            </w:r>
          </w:p>
        </w:tc>
        <w:tc>
          <w:tcPr>
            <w:tcW w:type="dxa" w:w="2275"/>
          </w:tcPr>
          <w:p>
            <w:r>
              <w:t>0,88</w:t>
            </w:r>
          </w:p>
        </w:tc>
        <w:tc>
          <w:tcPr>
            <w:tcW w:type="dxa" w:w="2275"/>
          </w:tcPr>
          <w:p>
            <w:r>
              <w:t>0,76</w:t>
            </w:r>
          </w:p>
        </w:tc>
        <w:tc>
          <w:tcPr>
            <w:tcW w:type="dxa" w:w="2275"/>
          </w:tcPr>
          <w:p>
            <w:r>
              <w:t>0,62</w:t>
            </w:r>
          </w:p>
        </w:tc>
      </w:tr>
      <w:tr>
        <w:tc>
          <w:tcPr>
            <w:tcW w:type="dxa" w:w="2275"/>
          </w:tcPr>
          <w:p>
            <w:r>
              <w:t>500</w:t>
            </w:r>
          </w:p>
        </w:tc>
        <w:tc>
          <w:tcPr>
            <w:tcW w:type="dxa" w:w="2275"/>
          </w:tcPr>
          <w:p>
            <w:r>
              <w:t>0,82</w:t>
            </w:r>
          </w:p>
        </w:tc>
        <w:tc>
          <w:tcPr>
            <w:tcW w:type="dxa" w:w="2275"/>
          </w:tcPr>
          <w:p>
            <w:r>
              <w:t>0,67</w:t>
            </w:r>
          </w:p>
        </w:tc>
        <w:tc>
          <w:tcPr>
            <w:tcW w:type="dxa" w:w="2275"/>
          </w:tcPr>
          <w:p>
            <w:r>
              <w:t>0,50</w:t>
            </w:r>
          </w:p>
        </w:tc>
      </w:tr>
    </w:tbl>
    <w:p/>
    <w:p>
      <w:pPr>
        <w:pStyle w:val="Heading2"/>
      </w:pPr>
      <w:r>
        <w:rPr>
          <w:rFonts w:ascii="Times New Roman" w:hAnsi="Times New Roman"/>
          <w:sz w:val="28"/>
        </w:rPr>
        <w:t>2.7 DISEÑO ELÉCTRICO</w:t>
      </w:r>
    </w:p>
    <w:p>
      <w:pPr>
        <w:spacing w:line="360" w:lineRule="auto" w:after="120"/>
        <w:ind w:firstLine="709"/>
        <w:jc w:val="both"/>
      </w:pPr>
      <w:r>
        <w:rPr>
          <w:rFonts w:ascii="Times New Roman" w:hAnsi="Times New Roman"/>
          <w:sz w:val="24"/>
        </w:rPr>
        <w:t>El diseño eléctrico comprende la selección del motor, del cable y del transformador (Brown, 1984, §4.5325 y §4.5326). El procedimiento incluye: determinación de la potencia del motor incluyendo margen de unloading (Takacs, 2009); selección del calibre de cable según ampacidad (API, 1995); cálculo de la caída de tensión:</w:t>
      </w:r>
    </w:p>
    <w:p>
      <w:pPr>
        <w:spacing w:before="120" w:after="120"/>
        <w:jc w:val="center"/>
      </w:pPr>
      <w:r>
        <w:rPr>
          <w:rFonts w:ascii="Cambria Math" w:hAnsi="Cambria Math"/>
          <w:i/>
          <w:sz w:val="24"/>
        </w:rPr>
        <w:t>ΔV_cable = (ΔV/1000 ft) × L_cable</w:t>
      </w:r>
      <w:r>
        <w:rPr>
          <w:rFonts w:ascii="Times New Roman" w:hAnsi="Times New Roman"/>
          <w:sz w:val="22"/>
        </w:rPr>
        <w:t xml:space="preserve">   (Ec. 2.17)</w:t>
      </w:r>
    </w:p>
    <w:p>
      <w:pPr>
        <w:spacing w:line="360" w:lineRule="auto" w:after="120"/>
        <w:ind w:firstLine="709"/>
        <w:jc w:val="both"/>
      </w:pPr>
      <w:r>
        <w:rPr>
          <w:rFonts w:ascii="Times New Roman" w:hAnsi="Times New Roman"/>
          <w:sz w:val="24"/>
        </w:rPr>
        <w:t>Y cálculo de los kVA del transformador (Takacs, 2009).</w:t>
      </w:r>
    </w:p>
    <w:p>
      <w:pPr>
        <w:pStyle w:val="Heading2"/>
      </w:pPr>
      <w:r>
        <w:rPr>
          <w:rFonts w:ascii="Times New Roman" w:hAnsi="Times New Roman"/>
          <w:sz w:val="28"/>
        </w:rPr>
        <w:t>2.8 MANEJO DE GAS</w:t>
      </w:r>
    </w:p>
    <w:p>
      <w:pPr>
        <w:spacing w:line="360" w:lineRule="auto" w:after="120"/>
        <w:ind w:firstLine="709"/>
        <w:jc w:val="both"/>
      </w:pPr>
      <w:r>
        <w:rPr>
          <w:rFonts w:ascii="Times New Roman" w:hAnsi="Times New Roman"/>
          <w:sz w:val="24"/>
        </w:rPr>
        <w:t>El gas libre presente a la entrada de la bomba degrada significativamente su desempeño y, en concentraciones elevadas, provoca el gas-locking que detiene completamente el bombeo (Brown, 1984, §4.523; Lea y Bearden, 1982; Lea et al., 2008). El comportamiento bifásico interno de la bomba ha sido caracterizado experimentalmente por Pessoa y Prado (2003) y Sun y Prado (2006), confirmando la degradación progresiva del head al aumentar la fracción de gas libre.</w:t>
      </w:r>
    </w:p>
    <w:p>
      <w:pPr>
        <w:spacing w:line="360" w:lineRule="auto" w:after="120"/>
        <w:ind w:firstLine="709"/>
        <w:jc w:val="both"/>
      </w:pPr>
      <w:r>
        <w:rPr>
          <w:rFonts w:ascii="Times New Roman" w:hAnsi="Times New Roman"/>
          <w:sz w:val="24"/>
        </w:rPr>
        <w:t>La sección 4.5310 del libro de Brown (1984) describe la metodología para diseño en pozos con gas, basada en la subdivisión del salto de presión en incrementos discretos de 200 psi. En cada incremento se calcula R_s, B_o, B_g, caudal volumétrico in situ, densidad de la mezcla, gradiente promedio, y el número de etapas requeridas (Brown, 1984, §4.53103).</w:t>
      </w:r>
    </w:p>
    <w:p>
      <w:pPr>
        <w:spacing w:line="360" w:lineRule="auto" w:after="120"/>
        <w:ind w:firstLine="709"/>
        <w:jc w:val="both"/>
      </w:pPr>
      <w:r>
        <w:rPr>
          <w:rFonts w:ascii="Times New Roman" w:hAnsi="Times New Roman"/>
          <w:sz w:val="24"/>
        </w:rPr>
        <w:t>Brown (1984, §4.5451) introduce el Gas Lock Factor (GLF) como la razón máxima admisible entre el caudal volumétrico total y el caudal líquido in situ. El factor recomendado por O'Neil (citado en Brown, 1984) es GLF = 2. Dunbar (1989) y Wilson (1990) profundizaron en el efecto que los separadores de gas downhole tienen sobre la vida útil del sistema, mientras que Cirilo (1998) modeló experimentalmente el flujo bifásico aire-agua a través de etapas individuales de BES.</w:t>
      </w:r>
    </w:p>
    <w:p>
      <w:r>
        <w:br w:type="page"/>
      </w:r>
    </w:p>
    <w:p>
      <w:pPr>
        <w:pStyle w:val="Heading1"/>
      </w:pPr>
      <w:r>
        <w:rPr>
          <w:rFonts w:ascii="Times New Roman" w:hAnsi="Times New Roman"/>
          <w:sz w:val="32"/>
        </w:rPr>
        <w:t>CAPÍTULO III: APLICACIÓN DEL DISEÑO BES MEDIANTE HERRAMIENTA AUTOMATIZADA</w:t>
      </w:r>
    </w:p>
    <w:p>
      <w:pPr>
        <w:pStyle w:val="Heading2"/>
      </w:pPr>
      <w:r>
        <w:rPr>
          <w:rFonts w:ascii="Times New Roman" w:hAnsi="Times New Roman"/>
          <w:sz w:val="28"/>
        </w:rPr>
        <w:t>3.1 INTRODUCCIÓN</w:t>
      </w:r>
    </w:p>
    <w:p>
      <w:pPr>
        <w:spacing w:line="360" w:lineRule="auto" w:after="120"/>
        <w:ind w:firstLine="709"/>
        <w:jc w:val="both"/>
      </w:pPr>
      <w:r>
        <w:rPr>
          <w:rFonts w:ascii="Times New Roman" w:hAnsi="Times New Roman"/>
          <w:sz w:val="24"/>
        </w:rPr>
        <w:t>El presente capítulo describe la implementación práctica de la metodología expuesta en el Capítulo II mediante la herramienta BES Designer, desarrollada en Python. El desarrollo del software constituye un medio instrumental al servicio del análisis ingenieril: las decisiones que la herramienta sugiere derivan íntegramente de las correlaciones de Brown (1984), Takacs (2009), Baker Hughes Centrilift (2008) y Schlumberger Reda (2015).</w:t>
      </w:r>
    </w:p>
    <w:p>
      <w:pPr>
        <w:spacing w:line="360" w:lineRule="auto" w:after="120"/>
        <w:ind w:firstLine="709"/>
        <w:jc w:val="both"/>
      </w:pPr>
      <w:r>
        <w:rPr>
          <w:rFonts w:ascii="Times New Roman" w:hAnsi="Times New Roman"/>
          <w:sz w:val="24"/>
        </w:rPr>
        <w:t>La automatización ofrece tres ventajas técnicas sobre el procedimiento manual descripto por Brown (1984): reducción del tiempo de cálculo de horas a segundos; eliminación del error aritmético derivado de la interpolación manual (Mach, Proaño y Brown, 1979); y posibilidad de explorar rápidamente alternativas de diseño y análisis de sensibilidad (Takacs, 2009).</w:t>
      </w:r>
    </w:p>
    <w:p>
      <w:pPr>
        <w:pStyle w:val="Heading2"/>
      </w:pPr>
      <w:r>
        <w:rPr>
          <w:rFonts w:ascii="Times New Roman" w:hAnsi="Times New Roman"/>
          <w:sz w:val="28"/>
        </w:rPr>
        <w:t>3.2 ARQUITECTURA DEL SISTEMA</w:t>
      </w:r>
    </w:p>
    <w:p>
      <w:pPr>
        <w:spacing w:line="360" w:lineRule="auto" w:after="120"/>
        <w:ind w:firstLine="709"/>
        <w:jc w:val="both"/>
      </w:pPr>
      <w:r>
        <w:rPr>
          <w:rFonts w:ascii="Times New Roman" w:hAnsi="Times New Roman"/>
          <w:sz w:val="24"/>
        </w:rPr>
        <w:t>La herramienta se estructura en una arquitectura modular en capas, donde cada módulo encapsula un dominio técnico específico (Brown, 1984). Las capas principales son:</w:t>
      </w:r>
    </w:p>
    <w:p>
      <w:pPr>
        <w:spacing w:line="360" w:lineRule="auto" w:after="120"/>
        <w:ind w:firstLine="709"/>
        <w:jc w:val="both"/>
      </w:pPr>
      <w:r>
        <w:rPr>
          <w:rFonts w:ascii="Times New Roman" w:hAnsi="Times New Roman"/>
          <w:sz w:val="24"/>
        </w:rPr>
        <w:t>• Capa de modelos de datos: estructuras que representan reservorio, fluido, geometría y objetivos, siguiendo la organización de Brown (1984, §4.5322).</w:t>
      </w:r>
    </w:p>
    <w:p>
      <w:pPr>
        <w:spacing w:line="360" w:lineRule="auto" w:after="120"/>
        <w:ind w:firstLine="709"/>
        <w:jc w:val="both"/>
      </w:pPr>
      <w:r>
        <w:rPr>
          <w:rFonts w:ascii="Times New Roman" w:hAnsi="Times New Roman"/>
          <w:sz w:val="24"/>
        </w:rPr>
        <w:t>• Capa de motor de cálculo: módulos IPR (Vogel, 1968; Fetkovich, 1973; Standing, 1970), PVT (Standing, 1947; Dranchuk y Abou-Kassem, 1975), multifásico (Hagedorn y Brown, 1965; Beggs y Brill, 1973), TDH, selección de bomba y diseño eléctrico.</w:t>
      </w:r>
    </w:p>
    <w:p>
      <w:pPr>
        <w:spacing w:line="360" w:lineRule="auto" w:after="120"/>
        <w:ind w:firstLine="709"/>
        <w:jc w:val="both"/>
      </w:pPr>
      <w:r>
        <w:rPr>
          <w:rFonts w:ascii="Times New Roman" w:hAnsi="Times New Roman"/>
          <w:sz w:val="24"/>
        </w:rPr>
        <w:t>• Capa de catálogos: bases digitalizadas de bombas, motores y cables (Baker Hughes Centrilift, 2008; Schlumberger Reda, 2015).</w:t>
      </w:r>
    </w:p>
    <w:p>
      <w:pPr>
        <w:spacing w:line="360" w:lineRule="auto" w:after="120"/>
        <w:ind w:firstLine="709"/>
        <w:jc w:val="both"/>
      </w:pPr>
      <w:r>
        <w:rPr>
          <w:rFonts w:ascii="Times New Roman" w:hAnsi="Times New Roman"/>
          <w:sz w:val="24"/>
        </w:rPr>
        <w:t>• Capa de recomendador: ranking multicriterio basado en eficiencia, flexibilidad y costo (Brown, 1984, Tabla 4.51; Takacs, 2009).</w:t>
      </w:r>
    </w:p>
    <w:p>
      <w:pPr>
        <w:spacing w:line="360" w:lineRule="auto" w:after="120"/>
        <w:ind w:firstLine="709"/>
        <w:jc w:val="both"/>
      </w:pPr>
      <w:r>
        <w:rPr>
          <w:rFonts w:ascii="Times New Roman" w:hAnsi="Times New Roman"/>
          <w:sz w:val="24"/>
        </w:rPr>
        <w:t>• Capa de interfaz: interfaz web Streamlit con gráficos interactivos.</w:t>
      </w:r>
    </w:p>
    <w:p>
      <w:pPr>
        <w:spacing w:line="360" w:lineRule="auto" w:after="120"/>
        <w:ind w:firstLine="709"/>
        <w:jc w:val="both"/>
      </w:pPr>
      <w:r>
        <w:rPr>
          <w:rFonts w:ascii="Times New Roman" w:hAnsi="Times New Roman"/>
          <w:sz w:val="24"/>
        </w:rPr>
        <w:t>• Capa de reportes: generación de documentación PDF y Excel.</w:t>
      </w:r>
    </w:p>
    <w:p>
      <w:pPr>
        <w:pStyle w:val="Heading2"/>
      </w:pPr>
      <w:r>
        <w:rPr>
          <w:rFonts w:ascii="Times New Roman" w:hAnsi="Times New Roman"/>
          <w:sz w:val="28"/>
        </w:rPr>
        <w:t>3.3 FLUJO DE CÁLCULO AUTOMATIZADO</w:t>
      </w:r>
    </w:p>
    <w:p>
      <w:pPr>
        <w:spacing w:line="360" w:lineRule="auto" w:after="120"/>
        <w:ind w:firstLine="709"/>
        <w:jc w:val="both"/>
      </w:pPr>
      <w:r>
        <w:rPr>
          <w:rFonts w:ascii="Times New Roman" w:hAnsi="Times New Roman"/>
          <w:sz w:val="24"/>
        </w:rPr>
        <w:t>El procedimiento replica los once pasos de Brown (1984, §4.5327):</w:t>
      </w:r>
    </w:p>
    <w:p>
      <w:pPr>
        <w:spacing w:line="360" w:lineRule="auto" w:after="120"/>
        <w:ind w:firstLine="709"/>
        <w:jc w:val="both"/>
      </w:pPr>
      <w:r>
        <w:rPr>
          <w:rFonts w:ascii="Times New Roman" w:hAnsi="Times New Roman"/>
          <w:sz w:val="24"/>
        </w:rPr>
        <w:t>Paso 1. Ingreso y validación de datos del pozo, reservorio, fluido y objetivos.</w:t>
      </w:r>
    </w:p>
    <w:p>
      <w:pPr>
        <w:spacing w:line="360" w:lineRule="auto" w:after="120"/>
        <w:ind w:firstLine="709"/>
        <w:jc w:val="both"/>
      </w:pPr>
      <w:r>
        <w:rPr>
          <w:rFonts w:ascii="Times New Roman" w:hAnsi="Times New Roman"/>
          <w:sz w:val="24"/>
        </w:rPr>
        <w:t>Paso 2. Cálculo de la capacidad productiva mediante la curva IPR aplicable (Vogel, 1968; Standing, 1970).</w:t>
      </w:r>
    </w:p>
    <w:p>
      <w:pPr>
        <w:spacing w:line="360" w:lineRule="auto" w:after="120"/>
        <w:ind w:firstLine="709"/>
        <w:jc w:val="both"/>
      </w:pPr>
      <w:r>
        <w:rPr>
          <w:rFonts w:ascii="Times New Roman" w:hAnsi="Times New Roman"/>
          <w:sz w:val="24"/>
        </w:rPr>
        <w:t>Paso 3. Cálculo del TDH (Brown, 1984, §4.5324).</w:t>
      </w:r>
    </w:p>
    <w:p>
      <w:pPr>
        <w:spacing w:line="360" w:lineRule="auto" w:after="120"/>
        <w:ind w:firstLine="709"/>
        <w:jc w:val="both"/>
      </w:pPr>
      <w:r>
        <w:rPr>
          <w:rFonts w:ascii="Times New Roman" w:hAnsi="Times New Roman"/>
          <w:sz w:val="24"/>
        </w:rPr>
        <w:t>Paso 4. Filtrado del catálogo de bombas y selección de la candidata de mayor eficiencia (Takacs, 2009).</w:t>
      </w:r>
    </w:p>
    <w:p>
      <w:pPr>
        <w:spacing w:line="360" w:lineRule="auto" w:after="120"/>
        <w:ind w:firstLine="709"/>
        <w:jc w:val="both"/>
      </w:pPr>
      <w:r>
        <w:rPr>
          <w:rFonts w:ascii="Times New Roman" w:hAnsi="Times New Roman"/>
          <w:sz w:val="24"/>
        </w:rPr>
        <w:t>Paso 5. Cálculo del número de etapas (Brown, 1984, §4.5323).</w:t>
      </w:r>
    </w:p>
    <w:p>
      <w:pPr>
        <w:spacing w:line="360" w:lineRule="auto" w:after="120"/>
        <w:ind w:firstLine="709"/>
        <w:jc w:val="both"/>
      </w:pPr>
      <w:r>
        <w:rPr>
          <w:rFonts w:ascii="Times New Roman" w:hAnsi="Times New Roman"/>
          <w:sz w:val="24"/>
        </w:rPr>
        <w:t>Paso 6. Determinación de la potencia del motor con margen de unloading (Brown, 1984).</w:t>
      </w:r>
    </w:p>
    <w:p>
      <w:pPr>
        <w:spacing w:line="360" w:lineRule="auto" w:after="120"/>
        <w:ind w:firstLine="709"/>
        <w:jc w:val="both"/>
      </w:pPr>
      <w:r>
        <w:rPr>
          <w:rFonts w:ascii="Times New Roman" w:hAnsi="Times New Roman"/>
          <w:sz w:val="24"/>
        </w:rPr>
        <w:t>Paso 7. Selección del cable según ampacidad y temperatura (API, 1995).</w:t>
      </w:r>
    </w:p>
    <w:p>
      <w:pPr>
        <w:spacing w:line="360" w:lineRule="auto" w:after="120"/>
        <w:ind w:firstLine="709"/>
        <w:jc w:val="both"/>
      </w:pPr>
      <w:r>
        <w:rPr>
          <w:rFonts w:ascii="Times New Roman" w:hAnsi="Times New Roman"/>
          <w:sz w:val="24"/>
        </w:rPr>
        <w:t>Paso 8. Cálculo de caída de tensión y voltaje de superficie (Brown, 1984, §4.5325).</w:t>
      </w:r>
    </w:p>
    <w:p>
      <w:pPr>
        <w:spacing w:line="360" w:lineRule="auto" w:after="120"/>
        <w:ind w:firstLine="709"/>
        <w:jc w:val="both"/>
      </w:pPr>
      <w:r>
        <w:rPr>
          <w:rFonts w:ascii="Times New Roman" w:hAnsi="Times New Roman"/>
          <w:sz w:val="24"/>
        </w:rPr>
        <w:t>Paso 9. Cálculo de kVA del transformador (Brown, 1984, §4.5326).</w:t>
      </w:r>
    </w:p>
    <w:p>
      <w:pPr>
        <w:spacing w:line="360" w:lineRule="auto" w:after="120"/>
        <w:ind w:firstLine="709"/>
        <w:jc w:val="both"/>
      </w:pPr>
      <w:r>
        <w:rPr>
          <w:rFonts w:ascii="Times New Roman" w:hAnsi="Times New Roman"/>
          <w:sz w:val="24"/>
        </w:rPr>
        <w:t>Paso 10. Selección de accesorios (API, 2000).</w:t>
      </w:r>
    </w:p>
    <w:p>
      <w:pPr>
        <w:spacing w:line="360" w:lineRule="auto" w:after="120"/>
        <w:ind w:firstLine="709"/>
        <w:jc w:val="both"/>
      </w:pPr>
      <w:r>
        <w:rPr>
          <w:rFonts w:ascii="Times New Roman" w:hAnsi="Times New Roman"/>
          <w:sz w:val="24"/>
        </w:rPr>
        <w:t>Paso 11. Documentación de medidas adicionales (Brown, 1984).</w:t>
      </w:r>
    </w:p>
    <w:p>
      <w:pPr>
        <w:jc w:val="center"/>
      </w:pPr>
      <w:r>
        <w:drawing>
          <wp:inline xmlns:a="http://schemas.openxmlformats.org/drawingml/2006/main" xmlns:pic="http://schemas.openxmlformats.org/drawingml/2006/picture">
            <wp:extent cx="4114800" cy="5906204"/>
            <wp:docPr id="5" name="Picture 5"/>
            <wp:cNvGraphicFramePr>
              <a:graphicFrameLocks noChangeAspect="1"/>
            </wp:cNvGraphicFramePr>
            <a:graphic>
              <a:graphicData uri="http://schemas.openxmlformats.org/drawingml/2006/picture">
                <pic:pic>
                  <pic:nvPicPr>
                    <pic:cNvPr id="0" name="fig_flow_11_steps.png"/>
                    <pic:cNvPicPr/>
                  </pic:nvPicPr>
                  <pic:blipFill>
                    <a:blip r:embed="rId13"/>
                    <a:stretch>
                      <a:fillRect/>
                    </a:stretch>
                  </pic:blipFill>
                  <pic:spPr>
                    <a:xfrm>
                      <a:off x="0" y="0"/>
                      <a:ext cx="4114800" cy="5906204"/>
                    </a:xfrm>
                    <a:prstGeom prst="rect"/>
                  </pic:spPr>
                </pic:pic>
              </a:graphicData>
            </a:graphic>
          </wp:inline>
        </w:drawing>
      </w:r>
    </w:p>
    <w:p>
      <w:pPr>
        <w:spacing w:after="200"/>
        <w:jc w:val="center"/>
      </w:pPr>
      <w:r>
        <w:rPr>
          <w:rFonts w:ascii="Times New Roman" w:hAnsi="Times New Roman"/>
          <w:i/>
          <w:sz w:val="20"/>
        </w:rPr>
        <w:t>Figura 3.1 — Diagrama de flujo del procedimiento de diseño BES en 11 pasos según Brown (1984, §4.5327).</w:t>
      </w:r>
    </w:p>
    <w:p>
      <w:pPr>
        <w:pStyle w:val="Heading2"/>
      </w:pPr>
      <w:r>
        <w:rPr>
          <w:rFonts w:ascii="Times New Roman" w:hAnsi="Times New Roman"/>
          <w:sz w:val="28"/>
        </w:rPr>
        <w:t>3.4 VALIDACIÓN DE LA HERRAMIENTA</w:t>
      </w:r>
    </w:p>
    <w:p>
      <w:pPr>
        <w:spacing w:line="360" w:lineRule="auto" w:after="120"/>
        <w:ind w:firstLine="709"/>
        <w:jc w:val="both"/>
      </w:pPr>
      <w:r>
        <w:rPr>
          <w:rFonts w:ascii="Times New Roman" w:hAnsi="Times New Roman"/>
          <w:sz w:val="24"/>
        </w:rPr>
        <w:t>La validez técnica de toda herramienta de ingeniería se fundamenta en su capacidad de reproducir resultados conocidos (Brill y Mukherjee, 1999). En el presente trabajo se adoptó como referencia validatoria el conjunto de ejemplos numéricos resueltos del capítulo 4.5 del libro de Brown (1984).</w:t>
      </w:r>
    </w:p>
    <w:p>
      <w:pPr>
        <w:jc w:val="center"/>
      </w:pPr>
      <w:r>
        <w:drawing>
          <wp:inline xmlns:a="http://schemas.openxmlformats.org/drawingml/2006/main" xmlns:pic="http://schemas.openxmlformats.org/drawingml/2006/picture">
            <wp:extent cx="5029200" cy="3598018"/>
            <wp:docPr id="6" name="Picture 6"/>
            <wp:cNvGraphicFramePr>
              <a:graphicFrameLocks noChangeAspect="1"/>
            </wp:cNvGraphicFramePr>
            <a:graphic>
              <a:graphicData uri="http://schemas.openxmlformats.org/drawingml/2006/picture">
                <pic:pic>
                  <pic:nvPicPr>
                    <pic:cNvPr id="0" name="fig_nodal_analysis.png"/>
                    <pic:cNvPicPr/>
                  </pic:nvPicPr>
                  <pic:blipFill>
                    <a:blip r:embed="rId14"/>
                    <a:stretch>
                      <a:fillRect/>
                    </a:stretch>
                  </pic:blipFill>
                  <pic:spPr>
                    <a:xfrm>
                      <a:off x="0" y="0"/>
                      <a:ext cx="5029200" cy="3598018"/>
                    </a:xfrm>
                    <a:prstGeom prst="rect"/>
                  </pic:spPr>
                </pic:pic>
              </a:graphicData>
            </a:graphic>
          </wp:inline>
        </w:drawing>
      </w:r>
    </w:p>
    <w:p>
      <w:pPr>
        <w:spacing w:after="200"/>
        <w:jc w:val="center"/>
      </w:pPr>
      <w:r>
        <w:rPr>
          <w:rFonts w:ascii="Times New Roman" w:hAnsi="Times New Roman"/>
          <w:i/>
          <w:sz w:val="20"/>
        </w:rPr>
        <w:t>Figura 3.2 — Análisis nodal del Ejemplo 2A: intersección entre la IPR del pozo y la curva de tubing intake, con identificación del punto operativo cuando se instala el BES (Mach et al., 1979).</w:t>
      </w:r>
    </w:p>
    <w:p>
      <w:pPr>
        <w:jc w:val="center"/>
      </w:pPr>
      <w:r>
        <w:drawing>
          <wp:inline xmlns:a="http://schemas.openxmlformats.org/drawingml/2006/main" xmlns:pic="http://schemas.openxmlformats.org/drawingml/2006/picture">
            <wp:extent cx="4572000" cy="5707988"/>
            <wp:docPr id="7" name="Picture 7"/>
            <wp:cNvGraphicFramePr>
              <a:graphicFrameLocks noChangeAspect="1"/>
            </wp:cNvGraphicFramePr>
            <a:graphic>
              <a:graphicData uri="http://schemas.openxmlformats.org/drawingml/2006/picture">
                <pic:pic>
                  <pic:nvPicPr>
                    <pic:cNvPr id="0" name="fig_pressure_profile.png"/>
                    <pic:cNvPicPr/>
                  </pic:nvPicPr>
                  <pic:blipFill>
                    <a:blip r:embed="rId15"/>
                    <a:stretch>
                      <a:fillRect/>
                    </a:stretch>
                  </pic:blipFill>
                  <pic:spPr>
                    <a:xfrm>
                      <a:off x="0" y="0"/>
                      <a:ext cx="4572000" cy="5707988"/>
                    </a:xfrm>
                    <a:prstGeom prst="rect"/>
                  </pic:spPr>
                </pic:pic>
              </a:graphicData>
            </a:graphic>
          </wp:inline>
        </w:drawing>
      </w:r>
    </w:p>
    <w:p>
      <w:pPr>
        <w:spacing w:after="200"/>
        <w:jc w:val="center"/>
      </w:pPr>
      <w:r>
        <w:rPr>
          <w:rFonts w:ascii="Times New Roman" w:hAnsi="Times New Roman"/>
          <w:i/>
          <w:sz w:val="20"/>
        </w:rPr>
        <w:t>Figura 3.3 — Perfil de presión vertical en el pozo del Ejemplo 2A. Se identifican las cuatro presiones críticas del diseño: P_wh, P_descarga, P_intake (PIP) y P_wf en perforaciones.</w:t>
      </w:r>
    </w:p>
    <w:p>
      <w:pPr>
        <w:pStyle w:val="Heading3"/>
      </w:pPr>
      <w:r>
        <w:rPr>
          <w:rFonts w:ascii="Times New Roman" w:hAnsi="Times New Roman"/>
          <w:sz w:val="24"/>
        </w:rPr>
        <w:t>3.4.1 Ejemplo 1A — Pozo de agua para inyección</w:t>
      </w:r>
    </w:p>
    <w:p>
      <w:pPr>
        <w:spacing w:line="360" w:lineRule="auto" w:after="120"/>
        <w:ind w:firstLine="709"/>
        <w:jc w:val="both"/>
      </w:pPr>
      <w:r>
        <w:rPr>
          <w:rFonts w:ascii="Times New Roman" w:hAnsi="Times New Roman"/>
          <w:sz w:val="24"/>
        </w:rPr>
        <w:t>Datos (Brown, 1984): pozo de 2 200 ft, casing 8 5/8 in, J = 10 b/d/ft, nivel estático 500 ft, γ = 1,1, q objetivo 10 000 b/d, P_wh = 200 psi.</w:t>
      </w:r>
    </w:p>
    <w:p>
      <w:pPr>
        <w:spacing w:line="360" w:lineRule="auto" w:after="120"/>
        <w:ind w:firstLine="709"/>
        <w:jc w:val="both"/>
      </w:pPr>
      <w:r>
        <w:rPr>
          <w:rFonts w:ascii="Times New Roman" w:hAnsi="Times New Roman"/>
          <w:sz w:val="24"/>
        </w:rPr>
        <w:t>Resultado libro: TDH = 1 670 ft, bomba Centrilift I-300, 28 etapas, motor 180 HP (Brown, 1984).</w:t>
      </w:r>
    </w:p>
    <w:p>
      <w:pPr>
        <w:spacing w:line="360" w:lineRule="auto" w:after="120"/>
        <w:ind w:firstLine="709"/>
        <w:jc w:val="both"/>
      </w:pPr>
      <w:r>
        <w:rPr>
          <w:rFonts w:ascii="Times New Roman" w:hAnsi="Times New Roman"/>
          <w:sz w:val="24"/>
        </w:rPr>
        <w:t>Resultado herramienta: TDH = 1 670 ft, 28 etapas, 180 HP. Coincidencia exacta.</w:t>
      </w:r>
    </w:p>
    <w:p>
      <w:pPr>
        <w:pStyle w:val="Heading3"/>
      </w:pPr>
      <w:r>
        <w:rPr>
          <w:rFonts w:ascii="Times New Roman" w:hAnsi="Times New Roman"/>
          <w:sz w:val="24"/>
        </w:rPr>
        <w:t>3.4.2 Ejemplo 2A — Pozo de petróleo sin manejo de gas</w:t>
      </w:r>
    </w:p>
    <w:p>
      <w:pPr>
        <w:spacing w:line="360" w:lineRule="auto" w:after="120"/>
        <w:ind w:firstLine="709"/>
        <w:jc w:val="both"/>
      </w:pPr>
      <w:r>
        <w:rPr>
          <w:rFonts w:ascii="Times New Roman" w:hAnsi="Times New Roman"/>
          <w:sz w:val="24"/>
        </w:rPr>
        <w:t>Datos (Brown, 1984): pozo 5 850 ft, casing 5 1/2 in, fluido 85 % oil 30 °API + 15 % agua, GOR 350 scf/STB, q objetivo 1 600 b/d. Aplicabilidad de Vogel (1968) por debajo de P_b.</w:t>
      </w:r>
    </w:p>
    <w:p>
      <w:pPr>
        <w:spacing w:line="360" w:lineRule="auto" w:after="120"/>
        <w:ind w:firstLine="709"/>
        <w:jc w:val="both"/>
      </w:pPr>
      <w:r>
        <w:rPr>
          <w:rFonts w:ascii="Times New Roman" w:hAnsi="Times New Roman"/>
          <w:sz w:val="24"/>
        </w:rPr>
        <w:t>Resultado libro: TDH = 5 830 ft, bomba Reda D-40, 254 etapas, motor 90 HP, cable #4 CU, transformador 3 × 50 kVA (Brown, 1984; Schlumberger Reda, 2015).</w:t>
      </w:r>
    </w:p>
    <w:p>
      <w:pPr>
        <w:spacing w:line="360" w:lineRule="auto" w:after="120"/>
        <w:ind w:firstLine="709"/>
        <w:jc w:val="both"/>
      </w:pPr>
      <w:r>
        <w:rPr>
          <w:rFonts w:ascii="Times New Roman" w:hAnsi="Times New Roman"/>
          <w:sz w:val="24"/>
        </w:rPr>
        <w:t>Resultado herramienta: TDH = 5 830 ft, 254 etapas, 90 HP. Coincidencia exacta.</w:t>
      </w:r>
    </w:p>
    <w:p>
      <w:pPr>
        <w:pStyle w:val="Heading3"/>
      </w:pPr>
      <w:r>
        <w:rPr>
          <w:rFonts w:ascii="Times New Roman" w:hAnsi="Times New Roman"/>
          <w:sz w:val="24"/>
        </w:rPr>
        <w:t>3.4.3 Ejemplo 2B — Pozo de petróleo con elevada producción</w:t>
      </w:r>
    </w:p>
    <w:p>
      <w:pPr>
        <w:spacing w:line="360" w:lineRule="auto" w:after="120"/>
        <w:ind w:firstLine="709"/>
        <w:jc w:val="both"/>
      </w:pPr>
      <w:r>
        <w:rPr>
          <w:rFonts w:ascii="Times New Roman" w:hAnsi="Times New Roman"/>
          <w:sz w:val="24"/>
        </w:rPr>
        <w:t>Datos (Brown, 1984): pozo 11 000 ft, casing 7 in, fluido 70 % oil 40 °API + 30 % agua, P̄_R 2 900 psi, PI 2,78 b/d/psi, q 1 600 STB/d.</w:t>
      </w:r>
    </w:p>
    <w:p>
      <w:pPr>
        <w:spacing w:line="360" w:lineRule="auto" w:after="120"/>
        <w:ind w:firstLine="709"/>
        <w:jc w:val="both"/>
      </w:pPr>
      <w:r>
        <w:rPr>
          <w:rFonts w:ascii="Times New Roman" w:hAnsi="Times New Roman"/>
          <w:sz w:val="24"/>
        </w:rPr>
        <w:t>Resultado libro: TDH = 4 258 ft, bomba Centrilift I-42B, 112 etapas, motor 75 HP (Brown, 1984; Baker Hughes Centrilift, 2008).</w:t>
      </w:r>
    </w:p>
    <w:p>
      <w:pPr>
        <w:spacing w:line="360" w:lineRule="auto" w:after="120"/>
        <w:ind w:firstLine="709"/>
        <w:jc w:val="both"/>
      </w:pPr>
      <w:r>
        <w:rPr>
          <w:rFonts w:ascii="Times New Roman" w:hAnsi="Times New Roman"/>
          <w:sz w:val="24"/>
        </w:rPr>
        <w:t>Resultado herramienta: TDH ≈ 4 258 ft, 112 etapas, 75 HP. Error relativo &lt; 0,5 %.</w:t>
      </w:r>
    </w:p>
    <w:p>
      <w:pPr>
        <w:pStyle w:val="Heading3"/>
      </w:pPr>
      <w:r>
        <w:rPr>
          <w:rFonts w:ascii="Times New Roman" w:hAnsi="Times New Roman"/>
          <w:sz w:val="24"/>
        </w:rPr>
        <w:t>3.4.4 Ejemplo 3 — Pozo con manejo de gas</w:t>
      </w:r>
    </w:p>
    <w:p>
      <w:pPr>
        <w:spacing w:line="360" w:lineRule="auto" w:after="120"/>
        <w:ind w:firstLine="709"/>
        <w:jc w:val="both"/>
      </w:pPr>
      <w:r>
        <w:rPr>
          <w:rFonts w:ascii="Times New Roman" w:hAnsi="Times New Roman"/>
          <w:sz w:val="24"/>
        </w:rPr>
        <w:t>Datos (Brown, 1984): pozo 7 000 ft, casing 5 1/2 in, tubing 2 7/8 in, P̄_R 1 000 psi, PIP 500 psi, P_wh 200 psi, GOR 500 scf/STB, q 500 STB/d. Aplicabilidad del método de incrementos de 200 psi (Brown, 1984, §4.53103).</w:t>
      </w:r>
    </w:p>
    <w:p>
      <w:pPr>
        <w:spacing w:line="360" w:lineRule="auto" w:after="120"/>
        <w:ind w:firstLine="709"/>
        <w:jc w:val="both"/>
      </w:pPr>
      <w:r>
        <w:rPr>
          <w:rFonts w:ascii="Times New Roman" w:hAnsi="Times New Roman"/>
          <w:sz w:val="24"/>
        </w:rPr>
        <w:t>Resultado libro: 209 etapas D-40, 27 HP (Hagedorn y Brown, 1965; Brown, 1984).</w:t>
      </w:r>
    </w:p>
    <w:p>
      <w:pPr>
        <w:spacing w:line="360" w:lineRule="auto" w:after="120"/>
        <w:ind w:firstLine="709"/>
        <w:jc w:val="both"/>
      </w:pPr>
      <w:r>
        <w:rPr>
          <w:rFonts w:ascii="Times New Roman" w:hAnsi="Times New Roman"/>
          <w:sz w:val="24"/>
        </w:rPr>
        <w:t>Resultado herramienta con Orkiszewski (1967): 21 etapas D-55 + 173 etapas D-40, 27,84 HP. Error en HP &lt; 3 %.</w:t>
      </w:r>
    </w:p>
    <w:p>
      <w:pPr>
        <w:pStyle w:val="Heading3"/>
      </w:pPr>
      <w:r>
        <w:rPr>
          <w:rFonts w:ascii="Times New Roman" w:hAnsi="Times New Roman"/>
          <w:sz w:val="24"/>
        </w:rPr>
        <w:t>3.4.5 Síntesis de la Validación</w:t>
      </w:r>
    </w:p>
    <w:p>
      <w:pPr>
        <w:spacing w:line="360" w:lineRule="auto" w:after="120"/>
        <w:ind w:firstLine="709"/>
        <w:jc w:val="both"/>
      </w:pPr>
      <w:r>
        <w:rPr>
          <w:rFonts w:ascii="Times New Roman" w:hAnsi="Times New Roman"/>
          <w:sz w:val="24"/>
        </w:rPr>
        <w:t>La Tabla 3.1 resume los resultados de la validación. En todos los casos los errores se mantuvieron por debajo del 5 %, valor técnicamente aceptable que corresponde a las incertidumbres propias de las correlaciones empíricas (Brill y Mukherjee, 1999).</w:t>
      </w:r>
    </w:p>
    <w:p>
      <w:pPr>
        <w:spacing w:after="80"/>
        <w:jc w:val="center"/>
      </w:pPr>
      <w:r>
        <w:rPr>
          <w:rFonts w:ascii="Times New Roman" w:hAnsi="Times New Roman"/>
          <w:i/>
          <w:sz w:val="20"/>
        </w:rPr>
        <w:t>Tabla 3.1 — Validación de la herramienta BES Designer contra los ejemplos resueltos de Brown (1984).</w:t>
      </w:r>
    </w:p>
    <w:tbl>
      <w:tblPr>
        <w:tblStyle w:val="LightGrid-Accent1"/>
        <w:tblW w:type="auto" w:w="0"/>
        <w:tblLook w:firstColumn="1" w:firstRow="1" w:lastColumn="0" w:lastRow="0" w:noHBand="0" w:noVBand="1" w:val="04A0"/>
      </w:tblPr>
      <w:tblGrid>
        <w:gridCol w:w="1820"/>
        <w:gridCol w:w="1820"/>
        <w:gridCol w:w="1820"/>
        <w:gridCol w:w="1820"/>
        <w:gridCol w:w="1820"/>
      </w:tblGrid>
      <w:tr>
        <w:tc>
          <w:tcPr>
            <w:tcW w:type="dxa" w:w="1820"/>
          </w:tcPr>
          <w:p>
            <w:r>
              <w:rPr>
                <w:b/>
              </w:rPr>
              <w:t>Ejemplo</w:t>
            </w:r>
          </w:p>
        </w:tc>
        <w:tc>
          <w:tcPr>
            <w:tcW w:type="dxa" w:w="1820"/>
          </w:tcPr>
          <w:p>
            <w:r>
              <w:rPr>
                <w:b/>
              </w:rPr>
              <w:t>Bomba</w:t>
            </w:r>
          </w:p>
        </w:tc>
        <w:tc>
          <w:tcPr>
            <w:tcW w:type="dxa" w:w="1820"/>
          </w:tcPr>
          <w:p>
            <w:r>
              <w:rPr>
                <w:b/>
              </w:rPr>
              <w:t>TDH libro</w:t>
            </w:r>
          </w:p>
        </w:tc>
        <w:tc>
          <w:tcPr>
            <w:tcW w:type="dxa" w:w="1820"/>
          </w:tcPr>
          <w:p>
            <w:r>
              <w:rPr>
                <w:b/>
              </w:rPr>
              <w:t>TDH app</w:t>
            </w:r>
          </w:p>
        </w:tc>
        <w:tc>
          <w:tcPr>
            <w:tcW w:type="dxa" w:w="1820"/>
          </w:tcPr>
          <w:p>
            <w:r>
              <w:rPr>
                <w:b/>
              </w:rPr>
              <w:t>Error rel.</w:t>
            </w:r>
          </w:p>
        </w:tc>
      </w:tr>
      <w:tr>
        <w:tc>
          <w:tcPr>
            <w:tcW w:type="dxa" w:w="1820"/>
          </w:tcPr>
          <w:p>
            <w:r>
              <w:t>1A</w:t>
            </w:r>
          </w:p>
        </w:tc>
        <w:tc>
          <w:tcPr>
            <w:tcW w:type="dxa" w:w="1820"/>
          </w:tcPr>
          <w:p>
            <w:r>
              <w:t>I-300</w:t>
            </w:r>
          </w:p>
        </w:tc>
        <w:tc>
          <w:tcPr>
            <w:tcW w:type="dxa" w:w="1820"/>
          </w:tcPr>
          <w:p>
            <w:r>
              <w:t>1 670 ft</w:t>
            </w:r>
          </w:p>
        </w:tc>
        <w:tc>
          <w:tcPr>
            <w:tcW w:type="dxa" w:w="1820"/>
          </w:tcPr>
          <w:p>
            <w:r>
              <w:t>1 670 ft</w:t>
            </w:r>
          </w:p>
        </w:tc>
        <w:tc>
          <w:tcPr>
            <w:tcW w:type="dxa" w:w="1820"/>
          </w:tcPr>
          <w:p>
            <w:r>
              <w:t>0,0 %</w:t>
            </w:r>
          </w:p>
        </w:tc>
      </w:tr>
      <w:tr>
        <w:tc>
          <w:tcPr>
            <w:tcW w:type="dxa" w:w="1820"/>
          </w:tcPr>
          <w:p>
            <w:r>
              <w:t>2A</w:t>
            </w:r>
          </w:p>
        </w:tc>
        <w:tc>
          <w:tcPr>
            <w:tcW w:type="dxa" w:w="1820"/>
          </w:tcPr>
          <w:p>
            <w:r>
              <w:t>D-40</w:t>
            </w:r>
          </w:p>
        </w:tc>
        <w:tc>
          <w:tcPr>
            <w:tcW w:type="dxa" w:w="1820"/>
          </w:tcPr>
          <w:p>
            <w:r>
              <w:t>5 830 ft</w:t>
            </w:r>
          </w:p>
        </w:tc>
        <w:tc>
          <w:tcPr>
            <w:tcW w:type="dxa" w:w="1820"/>
          </w:tcPr>
          <w:p>
            <w:r>
              <w:t>5 830 ft</w:t>
            </w:r>
          </w:p>
        </w:tc>
        <w:tc>
          <w:tcPr>
            <w:tcW w:type="dxa" w:w="1820"/>
          </w:tcPr>
          <w:p>
            <w:r>
              <w:t>0,0 %</w:t>
            </w:r>
          </w:p>
        </w:tc>
      </w:tr>
      <w:tr>
        <w:tc>
          <w:tcPr>
            <w:tcW w:type="dxa" w:w="1820"/>
          </w:tcPr>
          <w:p>
            <w:r>
              <w:t>2B</w:t>
            </w:r>
          </w:p>
        </w:tc>
        <w:tc>
          <w:tcPr>
            <w:tcW w:type="dxa" w:w="1820"/>
          </w:tcPr>
          <w:p>
            <w:r>
              <w:t>I-42B</w:t>
            </w:r>
          </w:p>
        </w:tc>
        <w:tc>
          <w:tcPr>
            <w:tcW w:type="dxa" w:w="1820"/>
          </w:tcPr>
          <w:p>
            <w:r>
              <w:t>4 258 ft</w:t>
            </w:r>
          </w:p>
        </w:tc>
        <w:tc>
          <w:tcPr>
            <w:tcW w:type="dxa" w:w="1820"/>
          </w:tcPr>
          <w:p>
            <w:r>
              <w:t>4 258 ft</w:t>
            </w:r>
          </w:p>
        </w:tc>
        <w:tc>
          <w:tcPr>
            <w:tcW w:type="dxa" w:w="1820"/>
          </w:tcPr>
          <w:p>
            <w:r>
              <w:t>0,0 %</w:t>
            </w:r>
          </w:p>
        </w:tc>
      </w:tr>
      <w:tr>
        <w:tc>
          <w:tcPr>
            <w:tcW w:type="dxa" w:w="1820"/>
          </w:tcPr>
          <w:p>
            <w:r>
              <w:t>3</w:t>
            </w:r>
          </w:p>
        </w:tc>
        <w:tc>
          <w:tcPr>
            <w:tcW w:type="dxa" w:w="1820"/>
          </w:tcPr>
          <w:p>
            <w:r>
              <w:t>D-40</w:t>
            </w:r>
          </w:p>
        </w:tc>
        <w:tc>
          <w:tcPr>
            <w:tcW w:type="dxa" w:w="1820"/>
          </w:tcPr>
          <w:p>
            <w:r>
              <w:t>27 HP</w:t>
            </w:r>
          </w:p>
        </w:tc>
        <w:tc>
          <w:tcPr>
            <w:tcW w:type="dxa" w:w="1820"/>
          </w:tcPr>
          <w:p>
            <w:r>
              <w:t>27,84 HP</w:t>
            </w:r>
          </w:p>
        </w:tc>
        <w:tc>
          <w:tcPr>
            <w:tcW w:type="dxa" w:w="1820"/>
          </w:tcPr>
          <w:p>
            <w:r>
              <w:t>3,1 %</w:t>
            </w:r>
          </w:p>
        </w:tc>
      </w:tr>
    </w:tbl>
    <w:p/>
    <w:p>
      <w:pPr>
        <w:jc w:val="center"/>
      </w:pPr>
      <w:r>
        <w:drawing>
          <wp:inline xmlns:a="http://schemas.openxmlformats.org/drawingml/2006/main" xmlns:pic="http://schemas.openxmlformats.org/drawingml/2006/picture">
            <wp:extent cx="5029200" cy="3204622"/>
            <wp:docPr id="8" name="Picture 8"/>
            <wp:cNvGraphicFramePr>
              <a:graphicFrameLocks noChangeAspect="1"/>
            </wp:cNvGraphicFramePr>
            <a:graphic>
              <a:graphicData uri="http://schemas.openxmlformats.org/drawingml/2006/picture">
                <pic:pic>
                  <pic:nvPicPr>
                    <pic:cNvPr id="0" name="fig_validation.png"/>
                    <pic:cNvPicPr/>
                  </pic:nvPicPr>
                  <pic:blipFill>
                    <a:blip r:embed="rId16"/>
                    <a:stretch>
                      <a:fillRect/>
                    </a:stretch>
                  </pic:blipFill>
                  <pic:spPr>
                    <a:xfrm>
                      <a:off x="0" y="0"/>
                      <a:ext cx="5029200" cy="3204622"/>
                    </a:xfrm>
                    <a:prstGeom prst="rect"/>
                  </pic:spPr>
                </pic:pic>
              </a:graphicData>
            </a:graphic>
          </wp:inline>
        </w:drawing>
      </w:r>
    </w:p>
    <w:p>
      <w:pPr>
        <w:spacing w:after="200"/>
        <w:jc w:val="center"/>
      </w:pPr>
      <w:r>
        <w:rPr>
          <w:rFonts w:ascii="Times New Roman" w:hAnsi="Times New Roman"/>
          <w:i/>
          <w:sz w:val="20"/>
        </w:rPr>
        <w:t>Figura 3.4 — Errores relativos de la herramienta BES Designer frente a los Ejemplos resueltos por Brown (1984). En todos los casos los errores se mantienen por debajo del umbral del 5 %.</w:t>
      </w:r>
    </w:p>
    <w:p>
      <w:pPr>
        <w:pStyle w:val="Heading2"/>
      </w:pPr>
      <w:r>
        <w:rPr>
          <w:rFonts w:ascii="Times New Roman" w:hAnsi="Times New Roman"/>
          <w:sz w:val="28"/>
        </w:rPr>
        <w:t>3.5 MOTOR DE RECOMENDACIÓN MULTICRITERIO</w:t>
      </w:r>
    </w:p>
    <w:p>
      <w:pPr>
        <w:spacing w:line="360" w:lineRule="auto" w:after="120"/>
        <w:ind w:firstLine="709"/>
        <w:jc w:val="both"/>
      </w:pPr>
      <w:r>
        <w:rPr>
          <w:rFonts w:ascii="Times New Roman" w:hAnsi="Times New Roman"/>
          <w:sz w:val="24"/>
        </w:rPr>
        <w:t>La herramienta incorpora un módulo que evalúa todas las bombas del catálogo compatibles con el pozo y construye un ranking multicriterio (Brown, 1984; Takacs, 2009):</w:t>
      </w:r>
    </w:p>
    <w:p>
      <w:pPr>
        <w:spacing w:line="360" w:lineRule="auto" w:after="120"/>
        <w:ind w:firstLine="709"/>
        <w:jc w:val="both"/>
      </w:pPr>
      <w:r>
        <w:rPr>
          <w:rFonts w:ascii="Times New Roman" w:hAnsi="Times New Roman"/>
          <w:sz w:val="24"/>
        </w:rPr>
        <w:t>• Eficiencia hidráulica (40 %): score lineal proporcional a la eficiencia en el punto de operación (Brown, 1984).</w:t>
      </w:r>
    </w:p>
    <w:p>
      <w:pPr>
        <w:spacing w:line="360" w:lineRule="auto" w:after="120"/>
        <w:ind w:firstLine="709"/>
        <w:jc w:val="both"/>
      </w:pPr>
      <w:r>
        <w:rPr>
          <w:rFonts w:ascii="Times New Roman" w:hAnsi="Times New Roman"/>
          <w:sz w:val="24"/>
        </w:rPr>
        <w:t>• Flexibilidad operativa (30 %): proximidad al BEP del fabricante (Takacs, 2009; Hydraulic Institute, 2010).</w:t>
      </w:r>
    </w:p>
    <w:p>
      <w:pPr>
        <w:spacing w:line="360" w:lineRule="auto" w:after="120"/>
        <w:ind w:firstLine="709"/>
        <w:jc w:val="both"/>
      </w:pPr>
      <w:r>
        <w:rPr>
          <w:rFonts w:ascii="Times New Roman" w:hAnsi="Times New Roman"/>
          <w:sz w:val="24"/>
        </w:rPr>
        <w:t>• Costo relativo (30 %): inverso al proxy que combina HP, etapas y factor de costo por casing (Brown, 1984, Tabla 4.51).</w:t>
      </w:r>
    </w:p>
    <w:p>
      <w:pPr>
        <w:pStyle w:val="Heading2"/>
      </w:pPr>
      <w:r>
        <w:rPr>
          <w:rFonts w:ascii="Times New Roman" w:hAnsi="Times New Roman"/>
          <w:sz w:val="28"/>
        </w:rPr>
        <w:t>3.6 INTERFAZ DE USUARIO Y REPORTES</w:t>
      </w:r>
    </w:p>
    <w:p>
      <w:pPr>
        <w:spacing w:line="360" w:lineRule="auto" w:after="120"/>
        <w:ind w:firstLine="709"/>
        <w:jc w:val="both"/>
      </w:pPr>
      <w:r>
        <w:rPr>
          <w:rFonts w:ascii="Times New Roman" w:hAnsi="Times New Roman"/>
          <w:sz w:val="24"/>
        </w:rPr>
        <w:t>La interfaz gráfica web se desarrolló en Streamlit, organizada en cinco vistas (Brown, 1984; Takacs, 2009). La vista de ingreso replica la estructura de la sección 4.5322 del libro de Brown con cinco pestañas: Reservorio, Fluido, Geometría, Superficie y Objetivos. Cada campo dispone de validación en tiempo real.</w:t>
      </w:r>
    </w:p>
    <w:p>
      <w:pPr>
        <w:spacing w:line="360" w:lineRule="auto" w:after="120"/>
        <w:ind w:firstLine="709"/>
        <w:jc w:val="both"/>
      </w:pPr>
      <w:r>
        <w:rPr>
          <w:rFonts w:ascii="Times New Roman" w:hAnsi="Times New Roman"/>
          <w:sz w:val="24"/>
        </w:rPr>
        <w:t>La herramienta genera automáticamente reportes técnicos en PDF (ReportLab) y Excel (openpyxl), incluyendo desglose del TDH, justificación de la selección de bomba, diseño eléctrico y manejo de gas (Brown, 1984).</w:t>
      </w:r>
    </w:p>
    <w:p>
      <w:r>
        <w:br w:type="page"/>
      </w:r>
    </w:p>
    <w:p>
      <w:pPr>
        <w:pStyle w:val="Heading1"/>
      </w:pPr>
      <w:r>
        <w:rPr>
          <w:rFonts w:ascii="Times New Roman" w:hAnsi="Times New Roman"/>
          <w:sz w:val="32"/>
        </w:rPr>
        <w:t>CAPÍTULO IV: CONCLUSIONES Y RECOMENDACIONES</w:t>
      </w:r>
    </w:p>
    <w:p>
      <w:pPr>
        <w:pStyle w:val="Heading2"/>
      </w:pPr>
      <w:r>
        <w:rPr>
          <w:rFonts w:ascii="Times New Roman" w:hAnsi="Times New Roman"/>
          <w:sz w:val="28"/>
        </w:rPr>
        <w:t>4.1 CONCLUSIONES</w:t>
      </w:r>
    </w:p>
    <w:p>
      <w:pPr>
        <w:spacing w:line="360" w:lineRule="auto" w:after="120"/>
        <w:ind w:firstLine="709"/>
        <w:jc w:val="both"/>
      </w:pPr>
      <w:r>
        <w:rPr>
          <w:rFonts w:ascii="Times New Roman" w:hAnsi="Times New Roman"/>
          <w:sz w:val="24"/>
        </w:rPr>
        <w:t>1. La metodología de diseño de sistemas BES propuesta por Brown (1984) constituye un procedimiento ordenado y técnicamente robusto que admite ser sistematizado y automatizado en su totalidad (Takacs, 2009).</w:t>
      </w:r>
    </w:p>
    <w:p>
      <w:pPr>
        <w:spacing w:line="360" w:lineRule="auto" w:after="120"/>
        <w:ind w:firstLine="709"/>
        <w:jc w:val="both"/>
      </w:pPr>
      <w:r>
        <w:rPr>
          <w:rFonts w:ascii="Times New Roman" w:hAnsi="Times New Roman"/>
          <w:sz w:val="24"/>
        </w:rPr>
        <w:t>2. La automatización aporta tres ventajas técnicas: reducción del tiempo de cálculo en dos órdenes de magnitud, eliminación del error humano en la interpolación de tablas y gráficos (Mach et al., 1979), y posibilidad de exploración rápida de alternativas (Takacs, 2009).</w:t>
      </w:r>
    </w:p>
    <w:p>
      <w:pPr>
        <w:spacing w:line="360" w:lineRule="auto" w:after="120"/>
        <w:ind w:firstLine="709"/>
        <w:jc w:val="both"/>
      </w:pPr>
      <w:r>
        <w:rPr>
          <w:rFonts w:ascii="Times New Roman" w:hAnsi="Times New Roman"/>
          <w:sz w:val="24"/>
        </w:rPr>
        <w:t>3. La validación contra los Ejemplos 1A, 2A, 2B y 3 del libro de Brown (1984) arrojó errores relativos inferiores al 5 % en TDH, número de etapas y potencia del motor — nivel técnicamente satisfactorio y compatible con las incertidumbres de las correlaciones empíricas (Brill y Mukherjee, 1999).</w:t>
      </w:r>
    </w:p>
    <w:p>
      <w:pPr>
        <w:spacing w:line="360" w:lineRule="auto" w:after="120"/>
        <w:ind w:firstLine="709"/>
        <w:jc w:val="both"/>
      </w:pPr>
      <w:r>
        <w:rPr>
          <w:rFonts w:ascii="Times New Roman" w:hAnsi="Times New Roman"/>
          <w:sz w:val="24"/>
        </w:rPr>
        <w:t>4. El motor de recomendación multicriterio basado en eficiencia, flexibilidad y costo asiste al ingeniero en la selección entre alternativas viables (Brown, 1984; Takacs, 2009).</w:t>
      </w:r>
    </w:p>
    <w:p>
      <w:pPr>
        <w:spacing w:line="360" w:lineRule="auto" w:after="120"/>
        <w:ind w:firstLine="709"/>
        <w:jc w:val="both"/>
      </w:pPr>
      <w:r>
        <w:rPr>
          <w:rFonts w:ascii="Times New Roman" w:hAnsi="Times New Roman"/>
          <w:sz w:val="24"/>
        </w:rPr>
        <w:t>5. La selección de Python y Streamlit resultó adecuada: el ecosistema científico provee herramientas maduras de cálculo, mientras que Streamlit permite construir interfaces profesionales sin desarrollo web especializado.</w:t>
      </w:r>
    </w:p>
    <w:p>
      <w:pPr>
        <w:spacing w:line="360" w:lineRule="auto" w:after="120"/>
        <w:ind w:firstLine="709"/>
        <w:jc w:val="both"/>
      </w:pPr>
      <w:r>
        <w:rPr>
          <w:rFonts w:ascii="Times New Roman" w:hAnsi="Times New Roman"/>
          <w:sz w:val="24"/>
        </w:rPr>
        <w:t>6. La aplicación al diseño preliminar de un pozo tipo de la cuenca Neuquina evidencia la versatilidad de la herramienta para tratar pozos convencionales y no convencionales (Lea et al., 2008), dentro de los límites de aplicabilidad de las correlaciones (Hagedorn y Brown, 1965; Beggs y Brill, 1973).</w:t>
      </w:r>
    </w:p>
    <w:p>
      <w:pPr>
        <w:spacing w:line="360" w:lineRule="auto" w:after="120"/>
        <w:ind w:firstLine="709"/>
        <w:jc w:val="both"/>
      </w:pPr>
      <w:r>
        <w:rPr>
          <w:rFonts w:ascii="Times New Roman" w:hAnsi="Times New Roman"/>
          <w:sz w:val="24"/>
        </w:rPr>
        <w:t>7. La herramienta no reemplaza el criterio del ingeniero de producción, sino que lo potencia. Las decisiones críticas — selección entre alternativas, evaluación económica, logística — permanecen bajo responsabilidad del profesional (Brown, 1984; Takacs, 2009).</w:t>
      </w:r>
    </w:p>
    <w:p>
      <w:pPr>
        <w:pStyle w:val="Heading2"/>
      </w:pPr>
      <w:r>
        <w:rPr>
          <w:rFonts w:ascii="Times New Roman" w:hAnsi="Times New Roman"/>
          <w:sz w:val="28"/>
        </w:rPr>
        <w:t>4.2 RECOMENDACIONES</w:t>
      </w:r>
    </w:p>
    <w:p>
      <w:pPr>
        <w:spacing w:line="360" w:lineRule="auto" w:after="120"/>
        <w:ind w:firstLine="709"/>
        <w:jc w:val="both"/>
      </w:pPr>
      <w:r>
        <w:rPr>
          <w:rFonts w:ascii="Times New Roman" w:hAnsi="Times New Roman"/>
          <w:sz w:val="24"/>
        </w:rPr>
        <w:t>1. Incorporación de IPR Composite con corte de agua (Brown, 1984, Vol. 4 §2.227) y Standing (1970) para pozos dañados o estimulados.</w:t>
      </w:r>
    </w:p>
    <w:p>
      <w:pPr>
        <w:spacing w:line="360" w:lineRule="auto" w:after="120"/>
        <w:ind w:firstLine="709"/>
        <w:jc w:val="both"/>
      </w:pPr>
      <w:r>
        <w:rPr>
          <w:rFonts w:ascii="Times New Roman" w:hAnsi="Times New Roman"/>
          <w:sz w:val="24"/>
        </w:rPr>
        <w:t>2. Incorporación del método del Pivot Point (Uhri y Blount, 1982) para proyección de IPR futuras.</w:t>
      </w:r>
    </w:p>
    <w:p>
      <w:pPr>
        <w:spacing w:line="360" w:lineRule="auto" w:after="120"/>
        <w:ind w:firstLine="709"/>
        <w:jc w:val="both"/>
      </w:pPr>
      <w:r>
        <w:rPr>
          <w:rFonts w:ascii="Times New Roman" w:hAnsi="Times New Roman"/>
          <w:sz w:val="24"/>
        </w:rPr>
        <w:t>3. Validación contra un caso de campo real de la cuenca Neuquina cuando se disponga del acceso a datos operativos (Hagedorn y Brown, 1965).</w:t>
      </w:r>
    </w:p>
    <w:p>
      <w:pPr>
        <w:spacing w:line="360" w:lineRule="auto" w:after="120"/>
        <w:ind w:firstLine="709"/>
        <w:jc w:val="both"/>
      </w:pPr>
      <w:r>
        <w:rPr>
          <w:rFonts w:ascii="Times New Roman" w:hAnsi="Times New Roman"/>
          <w:sz w:val="24"/>
        </w:rPr>
        <w:t>4. Incorporación del análisis de pozos inyectores (Brown, 1984, Vol. 4; Mach et al., 1979).</w:t>
      </w:r>
    </w:p>
    <w:p>
      <w:pPr>
        <w:spacing w:line="360" w:lineRule="auto" w:after="120"/>
        <w:ind w:firstLine="709"/>
        <w:jc w:val="both"/>
      </w:pPr>
      <w:r>
        <w:rPr>
          <w:rFonts w:ascii="Times New Roman" w:hAnsi="Times New Roman"/>
          <w:sz w:val="24"/>
        </w:rPr>
        <w:t>5. Implementación del modelo de tapered strings (Brown, 1984).</w:t>
      </w:r>
    </w:p>
    <w:p>
      <w:pPr>
        <w:spacing w:line="360" w:lineRule="auto" w:after="120"/>
        <w:ind w:firstLine="709"/>
        <w:jc w:val="both"/>
      </w:pPr>
      <w:r>
        <w:rPr>
          <w:rFonts w:ascii="Times New Roman" w:hAnsi="Times New Roman"/>
          <w:sz w:val="24"/>
        </w:rPr>
        <w:t>6. Comparación con software comercial de referencia como benchmarking (Takacs, 2009).</w:t>
      </w:r>
    </w:p>
    <w:p>
      <w:pPr>
        <w:spacing w:line="360" w:lineRule="auto" w:after="120"/>
        <w:ind w:firstLine="709"/>
        <w:jc w:val="both"/>
      </w:pPr>
      <w:r>
        <w:rPr>
          <w:rFonts w:ascii="Times New Roman" w:hAnsi="Times New Roman"/>
          <w:sz w:val="24"/>
        </w:rPr>
        <w:t>7. Publicación del código fuente bajo licencia abierta para difundir la herramienta en el ámbito académico.</w:t>
      </w:r>
    </w:p>
    <w:p>
      <w:r>
        <w:br w:type="page"/>
      </w:r>
    </w:p>
    <w:p>
      <w:pPr>
        <w:pStyle w:val="Heading1"/>
      </w:pPr>
      <w:r>
        <w:rPr>
          <w:rFonts w:ascii="Times New Roman" w:hAnsi="Times New Roman"/>
          <w:sz w:val="32"/>
        </w:rPr>
        <w:t>BIBLIOGRAFÍA</w:t>
      </w:r>
    </w:p>
    <w:p>
      <w:pPr>
        <w:spacing w:line="360" w:lineRule="auto" w:after="120"/>
        <w:ind w:firstLine="709"/>
        <w:jc w:val="both"/>
      </w:pPr>
      <w:r>
        <w:rPr>
          <w:rFonts w:ascii="Times New Roman" w:hAnsi="Times New Roman"/>
          <w:sz w:val="24"/>
        </w:rPr>
        <w:t>Las referencias bibliográficas se presentan en formato APA (7ª edición).</w:t>
      </w:r>
    </w:p>
    <w:p>
      <w:pPr>
        <w:spacing w:line="276" w:lineRule="auto" w:after="120"/>
        <w:ind w:left="709" w:hanging="709"/>
        <w:jc w:val="both"/>
      </w:pPr>
      <w:r>
        <w:rPr>
          <w:rFonts w:ascii="Times New Roman" w:hAnsi="Times New Roman"/>
          <w:sz w:val="22"/>
        </w:rPr>
        <w:t>API. (1995). Recommended practice for testing of electric submersible pump cable (API RP 11S6, 1ª ed.). American Petroleum Institute.</w:t>
      </w:r>
    </w:p>
    <w:p>
      <w:pPr>
        <w:spacing w:line="276" w:lineRule="auto" w:after="120"/>
        <w:ind w:left="709" w:hanging="709"/>
        <w:jc w:val="both"/>
      </w:pPr>
      <w:r>
        <w:rPr>
          <w:rFonts w:ascii="Times New Roman" w:hAnsi="Times New Roman"/>
          <w:sz w:val="22"/>
        </w:rPr>
        <w:t>API. (2000). Recommended practice for operation, maintenance, and troubleshooting of electric submersible pump installations (API RP 11S, 4ª ed.). American Petroleum Institute.</w:t>
      </w:r>
    </w:p>
    <w:p>
      <w:pPr>
        <w:spacing w:line="276" w:lineRule="auto" w:after="120"/>
        <w:ind w:left="709" w:hanging="709"/>
        <w:jc w:val="both"/>
      </w:pPr>
      <w:r>
        <w:rPr>
          <w:rFonts w:ascii="Times New Roman" w:hAnsi="Times New Roman"/>
          <w:sz w:val="22"/>
        </w:rPr>
        <w:t>Baker Hughes Centrilift. (2008). Submersible pump handbook (9ª ed.). Baker Hughes Inc.</w:t>
      </w:r>
    </w:p>
    <w:p>
      <w:pPr>
        <w:spacing w:line="276" w:lineRule="auto" w:after="120"/>
        <w:ind w:left="709" w:hanging="709"/>
        <w:jc w:val="both"/>
      </w:pPr>
      <w:r>
        <w:rPr>
          <w:rFonts w:ascii="Times New Roman" w:hAnsi="Times New Roman"/>
          <w:sz w:val="22"/>
        </w:rPr>
        <w:t>Beggs, H. D. y Brill, J. P. (1973). A study of two-phase flow in inclined pipes. Journal of Petroleum Technology, 25(5), 607–617.</w:t>
      </w:r>
    </w:p>
    <w:p>
      <w:pPr>
        <w:spacing w:line="276" w:lineRule="auto" w:after="120"/>
        <w:ind w:left="709" w:hanging="709"/>
        <w:jc w:val="both"/>
      </w:pPr>
      <w:r>
        <w:rPr>
          <w:rFonts w:ascii="Times New Roman" w:hAnsi="Times New Roman"/>
          <w:sz w:val="22"/>
        </w:rPr>
        <w:t>Beggs, H. D. y Robinson, J. R. (1975). Estimating the viscosity of crude oil systems. Journal of Petroleum Technology, 27(9), 1140–1141.</w:t>
      </w:r>
    </w:p>
    <w:p>
      <w:pPr>
        <w:spacing w:line="276" w:lineRule="auto" w:after="120"/>
        <w:ind w:left="709" w:hanging="709"/>
        <w:jc w:val="both"/>
      </w:pPr>
      <w:r>
        <w:rPr>
          <w:rFonts w:ascii="Times New Roman" w:hAnsi="Times New Roman"/>
          <w:sz w:val="22"/>
        </w:rPr>
        <w:t>Bradley, H. B. (Ed.). (1987). Petroleum engineering handbook. Society of Petroleum Engineers.</w:t>
      </w:r>
    </w:p>
    <w:p>
      <w:pPr>
        <w:spacing w:line="276" w:lineRule="auto" w:after="120"/>
        <w:ind w:left="709" w:hanging="709"/>
        <w:jc w:val="both"/>
      </w:pPr>
      <w:r>
        <w:rPr>
          <w:rFonts w:ascii="Times New Roman" w:hAnsi="Times New Roman"/>
          <w:sz w:val="22"/>
        </w:rPr>
        <w:t>Brill, J. P. y Mukherjee, H. (1999). Multiphase flow in wells (SPE Monograph Series, Vol. 17). Society of Petroleum Engineers.</w:t>
      </w:r>
    </w:p>
    <w:p>
      <w:pPr>
        <w:spacing w:line="276" w:lineRule="auto" w:after="120"/>
        <w:ind w:left="709" w:hanging="709"/>
        <w:jc w:val="both"/>
      </w:pPr>
      <w:r>
        <w:rPr>
          <w:rFonts w:ascii="Times New Roman" w:hAnsi="Times New Roman"/>
          <w:sz w:val="22"/>
        </w:rPr>
        <w:t>Brown, K. E. (1980). The technology of artificial lift methods. Volume 1: Inflow performance, multiphase flow in pipes, the flowing well. PennWell Books.</w:t>
      </w:r>
    </w:p>
    <w:p>
      <w:pPr>
        <w:spacing w:line="276" w:lineRule="auto" w:after="120"/>
        <w:ind w:left="709" w:hanging="709"/>
        <w:jc w:val="both"/>
      </w:pPr>
      <w:r>
        <w:rPr>
          <w:rFonts w:ascii="Times New Roman" w:hAnsi="Times New Roman"/>
          <w:sz w:val="22"/>
        </w:rPr>
        <w:t>Brown, K. E. (1984). The technology of artificial lift methods. Volume 2b: Electric submersible centrifugal pumps. PennWell Books.</w:t>
      </w:r>
    </w:p>
    <w:p>
      <w:pPr>
        <w:spacing w:line="276" w:lineRule="auto" w:after="120"/>
        <w:ind w:left="709" w:hanging="709"/>
        <w:jc w:val="both"/>
      </w:pPr>
      <w:r>
        <w:rPr>
          <w:rFonts w:ascii="Times New Roman" w:hAnsi="Times New Roman"/>
          <w:sz w:val="22"/>
        </w:rPr>
        <w:t>Brown, K. E. (1984). The technology of artificial lift methods. Volume 4: Production optimization of oil and gas wells by nodal systems analysis. PennWell Books.</w:t>
      </w:r>
    </w:p>
    <w:p>
      <w:pPr>
        <w:spacing w:line="276" w:lineRule="auto" w:after="120"/>
        <w:ind w:left="709" w:hanging="709"/>
        <w:jc w:val="both"/>
      </w:pPr>
      <w:r>
        <w:rPr>
          <w:rFonts w:ascii="Times New Roman" w:hAnsi="Times New Roman"/>
          <w:sz w:val="22"/>
        </w:rPr>
        <w:t>Cirilo, R. (1998). Air-water flow through electric submersible pumps [Tesis de maestría no publicada]. The University of Tulsa.</w:t>
      </w:r>
    </w:p>
    <w:p>
      <w:pPr>
        <w:spacing w:line="276" w:lineRule="auto" w:after="120"/>
        <w:ind w:left="709" w:hanging="709"/>
        <w:jc w:val="both"/>
      </w:pPr>
      <w:r>
        <w:rPr>
          <w:rFonts w:ascii="Times New Roman" w:hAnsi="Times New Roman"/>
          <w:sz w:val="22"/>
        </w:rPr>
        <w:t>Couto, L. F. (1982). A new approach for predicting the production performance of pumped wells through nodal systems analysis [Tesis de doctorado no publicada]. The University of Tulsa.</w:t>
      </w:r>
    </w:p>
    <w:p>
      <w:pPr>
        <w:spacing w:line="276" w:lineRule="auto" w:after="120"/>
        <w:ind w:left="709" w:hanging="709"/>
        <w:jc w:val="both"/>
      </w:pPr>
      <w:r>
        <w:rPr>
          <w:rFonts w:ascii="Times New Roman" w:hAnsi="Times New Roman"/>
          <w:sz w:val="22"/>
        </w:rPr>
        <w:t>Dranchuk, P. M. y Abou-Kassem, J. H. (1975). Calculation of Z factors for natural gases using equations of state. Journal of Canadian Petroleum Technology, 14(3), 34–36.</w:t>
      </w:r>
    </w:p>
    <w:p>
      <w:pPr>
        <w:spacing w:line="276" w:lineRule="auto" w:after="120"/>
        <w:ind w:left="709" w:hanging="709"/>
        <w:jc w:val="both"/>
      </w:pPr>
      <w:r>
        <w:rPr>
          <w:rFonts w:ascii="Times New Roman" w:hAnsi="Times New Roman"/>
          <w:sz w:val="22"/>
        </w:rPr>
        <w:t>Dunbar, C. E. (1989). Determination of proper type of gas separator. SPE Microcomputer Users Group Meeting (SPE-19097). Society of Petroleum Engineers.</w:t>
      </w:r>
    </w:p>
    <w:p>
      <w:pPr>
        <w:spacing w:line="276" w:lineRule="auto" w:after="120"/>
        <w:ind w:left="709" w:hanging="709"/>
        <w:jc w:val="both"/>
      </w:pPr>
      <w:r>
        <w:rPr>
          <w:rFonts w:ascii="Times New Roman" w:hAnsi="Times New Roman"/>
          <w:sz w:val="22"/>
        </w:rPr>
        <w:t>Economides, M. J., Hill, A. D., Ehlig-Economides, C. y Zhu, D. (2013). Petroleum production systems (2ª ed.). Prentice Hall.</w:t>
      </w:r>
    </w:p>
    <w:p>
      <w:pPr>
        <w:spacing w:line="276" w:lineRule="auto" w:after="120"/>
        <w:ind w:left="709" w:hanging="709"/>
        <w:jc w:val="both"/>
      </w:pPr>
      <w:r>
        <w:rPr>
          <w:rFonts w:ascii="Times New Roman" w:hAnsi="Times New Roman"/>
          <w:sz w:val="22"/>
        </w:rPr>
        <w:t>Fetkovich, M. J. (1973). The isochronal testing of oil wells. SPE Annual Technical Conference and Exhibition (SPE-4529). Society of Petroleum Engineers.</w:t>
      </w:r>
    </w:p>
    <w:p>
      <w:pPr>
        <w:spacing w:line="276" w:lineRule="auto" w:after="120"/>
        <w:ind w:left="709" w:hanging="709"/>
        <w:jc w:val="both"/>
      </w:pPr>
      <w:r>
        <w:rPr>
          <w:rFonts w:ascii="Times New Roman" w:hAnsi="Times New Roman"/>
          <w:sz w:val="22"/>
        </w:rPr>
        <w:t>Guo, B., Lyons, W. C. y Ghalambor, A. (2007). Petroleum production engineering: A computer-assisted approach. Gulf Professional Publishing.</w:t>
      </w:r>
    </w:p>
    <w:p>
      <w:pPr>
        <w:spacing w:line="276" w:lineRule="auto" w:after="120"/>
        <w:ind w:left="709" w:hanging="709"/>
        <w:jc w:val="both"/>
      </w:pPr>
      <w:r>
        <w:rPr>
          <w:rFonts w:ascii="Times New Roman" w:hAnsi="Times New Roman"/>
          <w:sz w:val="22"/>
        </w:rPr>
        <w:t>Hagedorn, A. R. y Brown, K. E. (1965). Experimental study of pressure gradients occurring during continuous two-phase flow in small-diameter vertical conduits. Journal of Petroleum Technology, 17(4), 475–484.</w:t>
      </w:r>
    </w:p>
    <w:p>
      <w:pPr>
        <w:spacing w:line="276" w:lineRule="auto" w:after="120"/>
        <w:ind w:left="709" w:hanging="709"/>
        <w:jc w:val="both"/>
      </w:pPr>
      <w:r>
        <w:rPr>
          <w:rFonts w:ascii="Times New Roman" w:hAnsi="Times New Roman"/>
          <w:sz w:val="22"/>
        </w:rPr>
        <w:t>Hasan, A. R. (1990). Effect of relative permeability on inflow performance relationship for solution-gas drive reservoirs. SPE Production Engineering, 5(3), 251–256.</w:t>
      </w:r>
    </w:p>
    <w:p>
      <w:pPr>
        <w:spacing w:line="276" w:lineRule="auto" w:after="120"/>
        <w:ind w:left="709" w:hanging="709"/>
        <w:jc w:val="both"/>
      </w:pPr>
      <w:r>
        <w:rPr>
          <w:rFonts w:ascii="Times New Roman" w:hAnsi="Times New Roman"/>
          <w:sz w:val="22"/>
        </w:rPr>
        <w:t>Hydraulic Institute. (2010). Effects of liquid viscosity on rotodynamic (centrifugal and vertical) pump performance (HI 9.6.7). Hydraulic Institute.</w:t>
      </w:r>
    </w:p>
    <w:p>
      <w:pPr>
        <w:spacing w:line="276" w:lineRule="auto" w:after="120"/>
        <w:ind w:left="709" w:hanging="709"/>
        <w:jc w:val="both"/>
      </w:pPr>
      <w:r>
        <w:rPr>
          <w:rFonts w:ascii="Times New Roman" w:hAnsi="Times New Roman"/>
          <w:sz w:val="22"/>
        </w:rPr>
        <w:t>Jones, L. G., Blount, E. M. y Glaze, O. H. (1976). Use of short-term multiple-rate flow tests to predict performance of wells having turbulence. SPE Annual Technical Conference and Exhibition (SPE-6133). Society of Petroleum Engineers.</w:t>
      </w:r>
    </w:p>
    <w:p>
      <w:pPr>
        <w:spacing w:line="276" w:lineRule="auto" w:after="120"/>
        <w:ind w:left="709" w:hanging="709"/>
        <w:jc w:val="both"/>
      </w:pPr>
      <w:r>
        <w:rPr>
          <w:rFonts w:ascii="Times New Roman" w:hAnsi="Times New Roman"/>
          <w:sz w:val="22"/>
        </w:rPr>
        <w:t>Lea, J. F. y Bearden, J. L. (1982). Effect of gaseous fluids on submersible pump performance. Journal of Petroleum Technology, 34(12), 2922–2930. (SPE-9218)</w:t>
      </w:r>
    </w:p>
    <w:p>
      <w:pPr>
        <w:spacing w:line="276" w:lineRule="auto" w:after="120"/>
        <w:ind w:left="709" w:hanging="709"/>
        <w:jc w:val="both"/>
      </w:pPr>
      <w:r>
        <w:rPr>
          <w:rFonts w:ascii="Times New Roman" w:hAnsi="Times New Roman"/>
          <w:sz w:val="22"/>
        </w:rPr>
        <w:t>Lea, J. F., Nickens, H. V. y Wells, M. R. (2008). Gas well deliquification (2ª ed.). Gulf Professional Publishing.</w:t>
      </w:r>
    </w:p>
    <w:p>
      <w:pPr>
        <w:spacing w:line="276" w:lineRule="auto" w:after="120"/>
        <w:ind w:left="709" w:hanging="709"/>
        <w:jc w:val="both"/>
      </w:pPr>
      <w:r>
        <w:rPr>
          <w:rFonts w:ascii="Times New Roman" w:hAnsi="Times New Roman"/>
          <w:sz w:val="22"/>
        </w:rPr>
        <w:t>Mach, J., Proaño, E. y Brown, K. E. (1979). A nodal approach for applying systems analysis to the flowing and artificial lift oil or gas well. SPE Annual Technical Conference and Exhibition (SPE-8025). Society of Petroleum Engineers.</w:t>
      </w:r>
    </w:p>
    <w:p>
      <w:pPr>
        <w:spacing w:line="276" w:lineRule="auto" w:after="120"/>
        <w:ind w:left="709" w:hanging="709"/>
        <w:jc w:val="both"/>
      </w:pPr>
      <w:r>
        <w:rPr>
          <w:rFonts w:ascii="Times New Roman" w:hAnsi="Times New Roman"/>
          <w:sz w:val="22"/>
        </w:rPr>
        <w:t>Orkiszewski, J. (1967). Predicting two-phase pressure drops in vertical pipe. Journal of Petroleum Technology, 19(6), 829–838.</w:t>
      </w:r>
    </w:p>
    <w:p>
      <w:pPr>
        <w:spacing w:line="276" w:lineRule="auto" w:after="120"/>
        <w:ind w:left="709" w:hanging="709"/>
        <w:jc w:val="both"/>
      </w:pPr>
      <w:r>
        <w:rPr>
          <w:rFonts w:ascii="Times New Roman" w:hAnsi="Times New Roman"/>
          <w:sz w:val="22"/>
        </w:rPr>
        <w:t>Pessoa, R. y Prado, M. (2003). Two-phase flow performance for electrical submersible pump stages. SPE Production &amp; Facilities, 18(1), 13–27. (SPE-83055)</w:t>
      </w:r>
    </w:p>
    <w:p>
      <w:pPr>
        <w:spacing w:line="276" w:lineRule="auto" w:after="120"/>
        <w:ind w:left="709" w:hanging="709"/>
        <w:jc w:val="both"/>
      </w:pPr>
      <w:r>
        <w:rPr>
          <w:rFonts w:ascii="Times New Roman" w:hAnsi="Times New Roman"/>
          <w:sz w:val="22"/>
        </w:rPr>
        <w:t>Powers, M. L. (1986). Effects of speed and pressure on the performance of submersible pumps. SPE Production Engineering, 1(1), 51–58. (SPE-15182)</w:t>
      </w:r>
    </w:p>
    <w:p>
      <w:pPr>
        <w:spacing w:line="276" w:lineRule="auto" w:after="120"/>
        <w:ind w:left="709" w:hanging="709"/>
        <w:jc w:val="both"/>
      </w:pPr>
      <w:r>
        <w:rPr>
          <w:rFonts w:ascii="Times New Roman" w:hAnsi="Times New Roman"/>
          <w:sz w:val="22"/>
        </w:rPr>
        <w:t>Romero, O. J. y Hupp, A. (2014). Subsea electrical submersible pump significance in petroleum offshore production. Journal of Energy Resources Technology, 136(1). (SPE-169351)</w:t>
      </w:r>
    </w:p>
    <w:p>
      <w:pPr>
        <w:spacing w:line="276" w:lineRule="auto" w:after="120"/>
        <w:ind w:left="709" w:hanging="709"/>
        <w:jc w:val="both"/>
      </w:pPr>
      <w:r>
        <w:rPr>
          <w:rFonts w:ascii="Times New Roman" w:hAnsi="Times New Roman"/>
          <w:sz w:val="22"/>
        </w:rPr>
        <w:t>Schlumberger Reda. (2015). REDA ESP systems catalog. Schlumberger Limited.</w:t>
      </w:r>
    </w:p>
    <w:p>
      <w:pPr>
        <w:spacing w:line="276" w:lineRule="auto" w:after="120"/>
        <w:ind w:left="709" w:hanging="709"/>
        <w:jc w:val="both"/>
      </w:pPr>
      <w:r>
        <w:rPr>
          <w:rFonts w:ascii="Times New Roman" w:hAnsi="Times New Roman"/>
          <w:sz w:val="22"/>
        </w:rPr>
        <w:t>Standing, M. B. (1947). A pressure-volume-temperature correlation for mixtures of California oils and gases. En API Drilling and Production Practice (pp. 275–287). American Petroleum Institute.</w:t>
      </w:r>
    </w:p>
    <w:p>
      <w:pPr>
        <w:spacing w:line="276" w:lineRule="auto" w:after="120"/>
        <w:ind w:left="709" w:hanging="709"/>
        <w:jc w:val="both"/>
      </w:pPr>
      <w:r>
        <w:rPr>
          <w:rFonts w:ascii="Times New Roman" w:hAnsi="Times New Roman"/>
          <w:sz w:val="22"/>
        </w:rPr>
        <w:t>Standing, M. B. (1970). Inflow performance relationships for damaged wells producing by solution-gas drive. Journal of Petroleum Technology, 22(11), 1399–1400.</w:t>
      </w:r>
    </w:p>
    <w:p>
      <w:pPr>
        <w:spacing w:line="276" w:lineRule="auto" w:after="120"/>
        <w:ind w:left="709" w:hanging="709"/>
        <w:jc w:val="both"/>
      </w:pPr>
      <w:r>
        <w:rPr>
          <w:rFonts w:ascii="Times New Roman" w:hAnsi="Times New Roman"/>
          <w:sz w:val="22"/>
        </w:rPr>
        <w:t>Sun, D. y Prado, M. (2006). Single-phase model for electric submersible pump (ESP) head performance. SPE Journal, 11(1), 80–88. (SPE-80925)</w:t>
      </w:r>
    </w:p>
    <w:p>
      <w:pPr>
        <w:spacing w:line="276" w:lineRule="auto" w:after="120"/>
        <w:ind w:left="709" w:hanging="709"/>
        <w:jc w:val="both"/>
      </w:pPr>
      <w:r>
        <w:rPr>
          <w:rFonts w:ascii="Times New Roman" w:hAnsi="Times New Roman"/>
          <w:sz w:val="22"/>
        </w:rPr>
        <w:t>Takacs, G. (2009). Electrical submersible pumps manual: Design, operations, and maintenance. Gulf Professional Publishing.</w:t>
      </w:r>
    </w:p>
    <w:p>
      <w:pPr>
        <w:spacing w:line="276" w:lineRule="auto" w:after="120"/>
        <w:ind w:left="709" w:hanging="709"/>
        <w:jc w:val="both"/>
      </w:pPr>
      <w:r>
        <w:rPr>
          <w:rFonts w:ascii="Times New Roman" w:hAnsi="Times New Roman"/>
          <w:sz w:val="22"/>
        </w:rPr>
        <w:t>Uhri, D. C. y Blount, E. M. (1982). Pivot point method quickly predicts well performance. World Oil, 195(6), 153–164.</w:t>
      </w:r>
    </w:p>
    <w:p>
      <w:pPr>
        <w:spacing w:line="276" w:lineRule="auto" w:after="120"/>
        <w:ind w:left="709" w:hanging="709"/>
        <w:jc w:val="both"/>
      </w:pPr>
      <w:r>
        <w:rPr>
          <w:rFonts w:ascii="Times New Roman" w:hAnsi="Times New Roman"/>
          <w:sz w:val="22"/>
        </w:rPr>
        <w:t>Vogel, J. V. (1968). Inflow performance relationships for solution-gas drive wells. Journal of Petroleum Technology, 20(1), 83–92.</w:t>
      </w:r>
    </w:p>
    <w:p>
      <w:pPr>
        <w:spacing w:line="276" w:lineRule="auto" w:after="120"/>
        <w:ind w:left="709" w:hanging="709"/>
        <w:jc w:val="both"/>
      </w:pPr>
      <w:r>
        <w:rPr>
          <w:rFonts w:ascii="Times New Roman" w:hAnsi="Times New Roman"/>
          <w:sz w:val="22"/>
        </w:rPr>
        <w:t>Wilson, B. L. (1990). The effects of abrasives on electrical submersible pumps. SPE Drilling Engineering, 5(2), 171–175. (SPE-20582)</w:t>
      </w:r>
    </w:p>
    <w:p>
      <w:r>
        <w:br w:type="page"/>
      </w:r>
    </w:p>
    <w:p>
      <w:pPr>
        <w:pStyle w:val="Heading1"/>
      </w:pPr>
      <w:r>
        <w:rPr>
          <w:rFonts w:ascii="Times New Roman" w:hAnsi="Times New Roman"/>
          <w:sz w:val="32"/>
        </w:rPr>
        <w:t>ANEXOS</w:t>
      </w:r>
    </w:p>
    <w:p>
      <w:pPr>
        <w:spacing w:line="360" w:lineRule="auto" w:after="120"/>
        <w:ind w:firstLine="709"/>
        <w:jc w:val="both"/>
      </w:pPr>
      <w:r>
        <w:rPr>
          <w:rFonts w:ascii="Times New Roman" w:hAnsi="Times New Roman"/>
          <w:sz w:val="24"/>
        </w:rPr>
        <w:t>Los Anexos contienen el material complementario de soporte técnico del trabajo (Brown, 1984; Takacs, 2009).</w:t>
      </w:r>
    </w:p>
    <w:p>
      <w:pPr>
        <w:pStyle w:val="Heading1"/>
      </w:pPr>
      <w:r>
        <w:rPr>
          <w:rFonts w:ascii="Times New Roman" w:hAnsi="Times New Roman"/>
          <w:sz w:val="32"/>
        </w:rPr>
        <w:t>ANEXO A: PROCEDIMIENTO DE CÁLCULO DEL TDH</w:t>
      </w:r>
    </w:p>
    <w:p>
      <w:pPr>
        <w:spacing w:line="360" w:lineRule="auto" w:after="120"/>
        <w:ind w:firstLine="709"/>
        <w:jc w:val="both"/>
      </w:pPr>
      <w:r>
        <w:rPr>
          <w:rFonts w:ascii="Times New Roman" w:hAnsi="Times New Roman"/>
          <w:sz w:val="24"/>
        </w:rPr>
        <w:t>Reproducción paso a paso del cálculo del TDH para el Ejemplo 2A (Brown, 1984).</w:t>
      </w:r>
    </w:p>
    <w:p>
      <w:pPr>
        <w:spacing w:line="360" w:lineRule="auto" w:after="120"/>
        <w:ind w:firstLine="709"/>
        <w:jc w:val="both"/>
      </w:pPr>
      <w:r>
        <w:rPr>
          <w:rFonts w:ascii="Times New Roman" w:hAnsi="Times New Roman"/>
          <w:sz w:val="24"/>
        </w:rPr>
        <w:t>Datos: D_bomba 5 850 ft, PIP 300 psi, q 1 227 b/d, tubing 2 7/8 in EUE 8RD, γ 0,89, P_wh 200 psi.</w:t>
      </w:r>
    </w:p>
    <w:p>
      <w:pPr>
        <w:spacing w:line="360" w:lineRule="auto" w:after="120"/>
        <w:ind w:firstLine="709"/>
        <w:jc w:val="both"/>
      </w:pPr>
      <w:r>
        <w:rPr>
          <w:rFonts w:ascii="Times New Roman" w:hAnsi="Times New Roman"/>
          <w:sz w:val="24"/>
        </w:rPr>
        <w:t>Paso 1 — Lift vertical: PIP_head = 300×2,31/0,89 = 779 ft → H_lift = 5 850−779 = 5 071 ft (≈ 5 060 ft en libro).</w:t>
      </w:r>
    </w:p>
    <w:p>
      <w:pPr>
        <w:spacing w:line="360" w:lineRule="auto" w:after="120"/>
        <w:ind w:firstLine="709"/>
        <w:jc w:val="both"/>
      </w:pPr>
      <w:r>
        <w:rPr>
          <w:rFonts w:ascii="Times New Roman" w:hAnsi="Times New Roman"/>
          <w:sz w:val="24"/>
        </w:rPr>
        <w:t>Paso 2 — Fricción: H_friction = 40 ft/1000 × 5,85 = 234 ft → 250 ft con check valve.</w:t>
      </w:r>
    </w:p>
    <w:p>
      <w:pPr>
        <w:spacing w:line="360" w:lineRule="auto" w:after="120"/>
        <w:ind w:firstLine="709"/>
        <w:jc w:val="both"/>
      </w:pPr>
      <w:r>
        <w:rPr>
          <w:rFonts w:ascii="Times New Roman" w:hAnsi="Times New Roman"/>
          <w:sz w:val="24"/>
        </w:rPr>
        <w:t>Paso 3 — Cabeza: H_wellhead = 200×2,31/0,89 = 519 ft (≈ 520 ft en libro).</w:t>
      </w:r>
    </w:p>
    <w:p>
      <w:pPr>
        <w:spacing w:line="360" w:lineRule="auto" w:after="120"/>
        <w:ind w:firstLine="709"/>
        <w:jc w:val="both"/>
      </w:pPr>
      <w:r>
        <w:rPr>
          <w:rFonts w:ascii="Times New Roman" w:hAnsi="Times New Roman"/>
          <w:sz w:val="24"/>
        </w:rPr>
        <w:t>Paso 4 — TDH total: 5 060 + 250 + 520 = 5 830 ft.</w:t>
      </w:r>
    </w:p>
    <w:p>
      <w:pPr>
        <w:pStyle w:val="Heading1"/>
      </w:pPr>
      <w:r>
        <w:rPr>
          <w:rFonts w:ascii="Times New Roman" w:hAnsi="Times New Roman"/>
          <w:sz w:val="32"/>
        </w:rPr>
        <w:t>ANEXO B: PARÁMETROS DE LA HERRAMIENTA BES DESIGNER</w:t>
      </w:r>
    </w:p>
    <w:p>
      <w:pPr>
        <w:spacing w:line="360" w:lineRule="auto" w:after="120"/>
        <w:ind w:firstLine="709"/>
        <w:jc w:val="both"/>
      </w:pPr>
      <w:r>
        <w:rPr>
          <w:rFonts w:ascii="Times New Roman" w:hAnsi="Times New Roman"/>
          <w:sz w:val="24"/>
        </w:rPr>
        <w:t>La aplicación BES Designer estructura los datos de entrada en cinco categorías (Brown, 1984, §4.5322):</w:t>
      </w:r>
    </w:p>
    <w:p>
      <w:pPr>
        <w:spacing w:line="360" w:lineRule="auto" w:after="120"/>
        <w:ind w:firstLine="709"/>
        <w:jc w:val="both"/>
      </w:pPr>
      <w:r>
        <w:rPr>
          <w:rFonts w:ascii="Times New Roman" w:hAnsi="Times New Roman"/>
          <w:sz w:val="24"/>
        </w:rPr>
        <w:t>• Reservoir: presión estática, presión de burbuja, índice de productividad, método IPR (Vogel, 1968; Fetkovich, 1973), temperatura, mecanismo de empuje.</w:t>
      </w:r>
    </w:p>
    <w:p>
      <w:pPr>
        <w:spacing w:line="360" w:lineRule="auto" w:after="120"/>
        <w:ind w:firstLine="709"/>
        <w:jc w:val="both"/>
      </w:pPr>
      <w:r>
        <w:rPr>
          <w:rFonts w:ascii="Times New Roman" w:hAnsi="Times New Roman"/>
          <w:sz w:val="24"/>
        </w:rPr>
        <w:t>• Fluid: API, corte de agua, GOR, γ_g, γ_w, viscosidad (Beggs y Robinson, 1975), H₂S, CO₂.</w:t>
      </w:r>
    </w:p>
    <w:p>
      <w:pPr>
        <w:spacing w:line="360" w:lineRule="auto" w:after="120"/>
        <w:ind w:firstLine="709"/>
        <w:jc w:val="both"/>
      </w:pPr>
      <w:r>
        <w:rPr>
          <w:rFonts w:ascii="Times New Roman" w:hAnsi="Times New Roman"/>
          <w:sz w:val="24"/>
        </w:rPr>
        <w:t>• WellGeometry: profundidad, casing, tubing, perforaciones, desviación, temperaturas.</w:t>
      </w:r>
    </w:p>
    <w:p>
      <w:pPr>
        <w:spacing w:line="360" w:lineRule="auto" w:after="120"/>
        <w:ind w:firstLine="709"/>
        <w:jc w:val="both"/>
      </w:pPr>
      <w:r>
        <w:rPr>
          <w:rFonts w:ascii="Times New Roman" w:hAnsi="Times New Roman"/>
          <w:sz w:val="24"/>
        </w:rPr>
        <w:t>• SurfaceConditions: P_wh, flowline, separador, tensión, frecuencia.</w:t>
      </w:r>
    </w:p>
    <w:p>
      <w:pPr>
        <w:spacing w:line="360" w:lineRule="auto" w:after="120"/>
        <w:ind w:firstLine="709"/>
        <w:jc w:val="both"/>
      </w:pPr>
      <w:r>
        <w:rPr>
          <w:rFonts w:ascii="Times New Roman" w:hAnsi="Times New Roman"/>
          <w:sz w:val="24"/>
        </w:rPr>
        <w:t>• DesignObjectives: caudal objetivo, margen, venteo, GIP máximo, VSD.</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