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color w:val="808080"/>
          <w:sz w:val="20"/>
          <w:szCs w:val="20"/>
        </w:rPr>
        <w:t xml:space="preserve">Consulta técnica</w:t>
      </w:r>
    </w:p>
    <w:p>
      <w:pPr>
        <w:spacing w:after="60"/>
      </w:pPr>
      <w:r>
        <w:rPr>
          <w:b/>
          <w:bCs/>
          <w:color w:val="1F4E79"/>
          <w:sz w:val="34"/>
          <w:szCs w:val="34"/>
        </w:rPr>
        <w:t xml:space="preserve">Corrección por viscosidad en el diseño de sistemas BES</w:t>
      </w:r>
    </w:p>
    <w:p>
      <w:pPr>
        <w:spacing w:after="200" w:line="276"/>
      </w:pPr>
      <w:r>
        <w:rPr>
          <w:i/>
          <w:iCs/>
          <w:color w:val="595959"/>
        </w:rPr>
        <w:t xml:space="preserve">Verificación del procedimiento de Riling (Brown §4.53112) y del modelo del Hydraulic Institute (Takács §4.2.2), tal como quedaron implementados en el simulador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Mar>
              <w:top w:type="dxa" w:w="60"/>
              <w:left w:type="dxa" w:w="90"/>
              <w:bottom w:type="dxa" w:w="60"/>
              <w:right w:type="dxa" w:w="90"/>
            </w:tcMar>
          </w:tcPr>
          <w:p>
            <w:pPr>
              <w:spacing w:after="0" w:line="240"/>
              <w:jc w:val="left"/>
            </w:pPr>
            <w:r>
              <w:rPr>
                <w:sz w:val="19"/>
                <w:szCs w:val="19"/>
              </w:rPr>
              <w:t xml:space="preserve">Autor</w:t>
            </w:r>
          </w:p>
        </w:tc>
        <w:tc>
          <w:tcPr>
            <w:tcW w:type="dxa" w:w="7126"/>
            <w:tcMar>
              <w:top w:type="dxa" w:w="60"/>
              <w:left w:type="dxa" w:w="90"/>
              <w:bottom w:type="dxa" w:w="60"/>
              <w:right w:type="dxa" w:w="90"/>
            </w:tcMar>
          </w:tcPr>
          <w:p>
            <w:pPr>
              <w:spacing w:after="0" w:line="240"/>
              <w:jc w:val="left"/>
            </w:pPr>
            <w:r>
              <w:rPr>
                <w:sz w:val="19"/>
                <w:szCs w:val="19"/>
              </w:rPr>
              <w:t xml:space="preserve">Pablo Tejerina</w:t>
            </w:r>
          </w:p>
        </w:tc>
      </w:tr>
      <w:tr>
        <w:tc>
          <w:tcPr>
            <w:tcW w:type="dxa" w:w="1900"/>
            <w:tcMar>
              <w:top w:type="dxa" w:w="60"/>
              <w:left w:type="dxa" w:w="90"/>
              <w:bottom w:type="dxa" w:w="60"/>
              <w:right w:type="dxa" w:w="90"/>
            </w:tcMar>
          </w:tcPr>
          <w:p>
            <w:pPr>
              <w:spacing w:after="0" w:line="240"/>
              <w:jc w:val="left"/>
            </w:pPr>
            <w:r>
              <w:rPr>
                <w:sz w:val="19"/>
                <w:szCs w:val="19"/>
              </w:rPr>
              <w:t xml:space="preserve">Proyecto</w:t>
            </w:r>
          </w:p>
        </w:tc>
        <w:tc>
          <w:tcPr>
            <w:tcW w:type="dxa" w:w="7126"/>
            <w:tcMar>
              <w:top w:type="dxa" w:w="60"/>
              <w:left w:type="dxa" w:w="90"/>
              <w:bottom w:type="dxa" w:w="60"/>
              <w:right w:type="dxa" w:w="90"/>
            </w:tcMar>
          </w:tcPr>
          <w:p>
            <w:pPr>
              <w:spacing w:after="0" w:line="240"/>
              <w:jc w:val="left"/>
            </w:pPr>
            <w:r>
              <w:rPr>
                <w:sz w:val="19"/>
                <w:szCs w:val="19"/>
              </w:rPr>
              <w:t xml:space="preserve">BES Designer — Tesis de grado, Ingeniería de Petróleo</w:t>
            </w:r>
          </w:p>
        </w:tc>
      </w:tr>
      <w:tr>
        <w:tc>
          <w:tcPr>
            <w:tcW w:type="dxa" w:w="1900"/>
            <w:tcMar>
              <w:top w:type="dxa" w:w="60"/>
              <w:left w:type="dxa" w:w="90"/>
              <w:bottom w:type="dxa" w:w="60"/>
              <w:right w:type="dxa" w:w="90"/>
            </w:tcMar>
          </w:tcPr>
          <w:p>
            <w:pPr>
              <w:spacing w:after="0" w:line="240"/>
              <w:jc w:val="left"/>
            </w:pPr>
            <w:r>
              <w:rPr>
                <w:sz w:val="19"/>
                <w:szCs w:val="19"/>
              </w:rPr>
              <w:t xml:space="preserve">Objeto</w:t>
            </w:r>
          </w:p>
        </w:tc>
        <w:tc>
          <w:tcPr>
            <w:tcW w:type="dxa" w:w="7126"/>
            <w:tcMar>
              <w:top w:type="dxa" w:w="60"/>
              <w:left w:type="dxa" w:w="90"/>
              <w:bottom w:type="dxa" w:w="60"/>
              <w:right w:type="dxa" w:w="90"/>
            </w:tcMar>
          </w:tcPr>
          <w:p>
            <w:pPr>
              <w:spacing w:after="0" w:line="240"/>
              <w:jc w:val="left"/>
            </w:pPr>
            <w:r>
              <w:rPr>
                <w:sz w:val="19"/>
                <w:szCs w:val="19"/>
              </w:rPr>
              <w:t xml:space="preserve">Validar las decisiones tomadas y las discrepancias encontradas en la bibliografía</w:t>
            </w:r>
          </w:p>
        </w:tc>
      </w:tr>
      <w:tr>
        <w:tc>
          <w:tcPr>
            <w:tcW w:type="dxa" w:w="1900"/>
            <w:tcMar>
              <w:top w:type="dxa" w:w="60"/>
              <w:left w:type="dxa" w:w="90"/>
              <w:bottom w:type="dxa" w:w="60"/>
              <w:right w:type="dxa" w:w="90"/>
            </w:tcMar>
          </w:tcPr>
          <w:p>
            <w:pPr>
              <w:spacing w:after="0" w:line="240"/>
              <w:jc w:val="left"/>
            </w:pPr>
            <w:r>
              <w:rPr>
                <w:sz w:val="19"/>
                <w:szCs w:val="19"/>
              </w:rPr>
              <w:t xml:space="preserve">Fecha</w:t>
            </w:r>
          </w:p>
        </w:tc>
        <w:tc>
          <w:tcPr>
            <w:tcW w:type="dxa" w:w="7126"/>
            <w:tcMar>
              <w:top w:type="dxa" w:w="60"/>
              <w:left w:type="dxa" w:w="90"/>
              <w:bottom w:type="dxa" w:w="60"/>
              <w:right w:type="dxa" w:w="90"/>
            </w:tcMar>
          </w:tcPr>
          <w:p>
            <w:pPr>
              <w:spacing w:after="0" w:line="240"/>
              <w:jc w:val="left"/>
            </w:pPr>
            <w:r>
              <w:rPr>
                <w:sz w:val="19"/>
                <w:szCs w:val="19"/>
              </w:rPr>
              <w:t xml:space="preserve">12 de agosto de 2026</w:t>
            </w:r>
          </w:p>
        </w:tc>
      </w:tr>
    </w:tbl>
    <w:p>
      <w:pPr>
        <w:pBdr>
          <w:bottom w:val="single" w:color="BFBFBF" w:sz="6"/>
        </w:pBdr>
        <w:spacing w:after="180" w:before="60"/>
      </w:pPr>
    </w:p>
    <w:p>
      <w:pPr>
        <w:spacing w:after="100" w:line="276"/>
      </w:pPr>
      <w:r>
        <w:rPr>
          <w:b/>
          <w:bCs/>
        </w:rPr>
        <w:t xml:space="preserve">Profesor:</w:t>
      </w:r>
    </w:p>
    <w:p>
      <w:pPr>
        <w:spacing w:after="120" w:line="276"/>
      </w:pPr>
      <w:r>
        <w:t xml:space="preserve">Le escribo para que revise cómo quedó implementada la corrección por viscosidad en el simulador. Reproduje el procedimiento del Kermit Brown y lo contrasté contra el Takács. Todo lo que sigue verifica numéricamente contra los ejemplos publicados, pero hay siete decisiones que tomé por mi cuenta y seis discrepancias que encontré en la bibliografía, y quisiera saber si las resolví bien.</w:t>
      </w:r>
    </w:p>
    <w:p>
      <w:pPr>
        <w:spacing w:after="120" w:line="276"/>
      </w:pPr>
      <w:r>
        <w:t xml:space="preserve">Las preguntas concretas están al final, en la sección 6. El resto es el contexto para poder contestarlas.</w:t>
      </w:r>
    </w:p>
    <w:p>
      <w:pPr>
        <w:pStyle w:val="Heading1"/>
        <w:spacing w:after="160" w:before="340"/>
      </w:pPr>
      <w:r>
        <w:rPr>
          <w:b/>
          <w:bCs/>
          <w:color w:val="1F4E79"/>
          <w:sz w:val="30"/>
          <w:szCs w:val="30"/>
        </w:rPr>
        <w:t xml:space="preserve">1. Qué se implementó</w:t>
      </w:r>
    </w:p>
    <w:p>
      <w:pPr>
        <w:spacing w:after="120" w:line="276"/>
      </w:pPr>
      <w:r>
        <w:t xml:space="preserve">Dos métodos, que contestan preguntas distintas y por eso conviven: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shd w:fill="F2F2F2" w:color="auto" w:val="clear"/>
            <w:tcMar>
              <w:top w:type="dxa" w:w="60"/>
              <w:left w:type="dxa" w:w="90"/>
              <w:bottom w:type="dxa" w:w="60"/>
              <w:right w:type="dxa" w:w="90"/>
            </w:tcMar>
          </w:tcPr>
          <w:p>
            <w:pPr>
              <w:spacing w:after="0" w:line="240"/>
              <w:jc w:val="left"/>
            </w:pPr>
            <w:r>
              <w:rPr>
                <w:b/>
                <w:bCs/>
                <w:sz w:val="19"/>
                <w:szCs w:val="19"/>
              </w:rPr>
              <w:t xml:space="preserve"/>
            </w:r>
          </w:p>
        </w:tc>
        <w:tc>
          <w:tcPr>
            <w:tcW w:type="dxa" w:w="3400"/>
            <w:shd w:fill="F2F2F2" w:color="auto" w:val="clear"/>
            <w:tcMar>
              <w:top w:type="dxa" w:w="60"/>
              <w:left w:type="dxa" w:w="90"/>
              <w:bottom w:type="dxa" w:w="60"/>
              <w:right w:type="dxa" w:w="90"/>
            </w:tcMar>
          </w:tcPr>
          <w:p>
            <w:pPr>
              <w:spacing w:after="0" w:line="240"/>
              <w:jc w:val="left"/>
            </w:pPr>
            <w:r>
              <w:rPr>
                <w:b/>
                <w:bCs/>
                <w:sz w:val="19"/>
                <w:szCs w:val="19"/>
              </w:rPr>
              <w:t xml:space="preserve">Riling — Brown §4.53112</w:t>
            </w:r>
          </w:p>
        </w:tc>
        <w:tc>
          <w:tcPr>
            <w:tcW w:type="dxa" w:w="3526"/>
            <w:shd w:fill="F2F2F2" w:color="auto" w:val="clear"/>
            <w:tcMar>
              <w:top w:type="dxa" w:w="60"/>
              <w:left w:type="dxa" w:w="90"/>
              <w:bottom w:type="dxa" w:w="60"/>
              <w:right w:type="dxa" w:w="90"/>
            </w:tcMar>
          </w:tcPr>
          <w:p>
            <w:pPr>
              <w:spacing w:after="0" w:line="240"/>
              <w:jc w:val="left"/>
            </w:pPr>
            <w:r>
              <w:rPr>
                <w:b/>
                <w:bCs/>
                <w:sz w:val="19"/>
                <w:szCs w:val="19"/>
              </w:rPr>
              <w:t xml:space="preserve">Hydraulic Institute — Takács §4.2.2</w:t>
            </w:r>
          </w:p>
        </w:tc>
      </w:tr>
      <w:tr>
        <w:tc>
          <w:tcPr>
            <w:tcW w:type="dxa" w:w="2100"/>
            <w:tcMar>
              <w:top w:type="dxa" w:w="60"/>
              <w:left w:type="dxa" w:w="90"/>
              <w:bottom w:type="dxa" w:w="60"/>
              <w:right w:type="dxa" w:w="90"/>
            </w:tcMar>
          </w:tcPr>
          <w:p>
            <w:pPr>
              <w:spacing w:after="0" w:line="240"/>
              <w:jc w:val="left"/>
            </w:pPr>
            <w:r>
              <w:rPr>
                <w:sz w:val="19"/>
                <w:szCs w:val="19"/>
              </w:rPr>
              <w:t xml:space="preserve">Forma</w:t>
            </w:r>
          </w:p>
        </w:tc>
        <w:tc>
          <w:tcPr>
            <w:tcW w:type="dxa" w:w="3400"/>
            <w:tcMar>
              <w:top w:type="dxa" w:w="60"/>
              <w:left w:type="dxa" w:w="90"/>
              <w:bottom w:type="dxa" w:w="60"/>
              <w:right w:type="dxa" w:w="90"/>
            </w:tcMar>
          </w:tcPr>
          <w:p>
            <w:pPr>
              <w:spacing w:after="0" w:line="240"/>
              <w:jc w:val="left"/>
            </w:pPr>
            <w:r>
              <w:rPr>
                <w:sz w:val="19"/>
                <w:szCs w:val="19"/>
              </w:rPr>
              <w:t xml:space="preserve">Tablas 4.520 / 4.521, se interpola</w:t>
            </w:r>
          </w:p>
        </w:tc>
        <w:tc>
          <w:tcPr>
            <w:tcW w:type="dxa" w:w="3526"/>
            <w:tcMar>
              <w:top w:type="dxa" w:w="60"/>
              <w:left w:type="dxa" w:w="90"/>
              <w:bottom w:type="dxa" w:w="60"/>
              <w:right w:type="dxa" w:w="90"/>
            </w:tcMar>
          </w:tcPr>
          <w:p>
            <w:pPr>
              <w:spacing w:after="0" w:line="240"/>
              <w:jc w:val="left"/>
            </w:pPr>
            <w:r>
              <w:rPr>
                <w:sz w:val="19"/>
                <w:szCs w:val="19"/>
              </w:rPr>
              <w:t xml:space="preserve">Ecuaciones cerradas (ajuste de Turzo et al., 2000)</w:t>
            </w:r>
          </w:p>
        </w:tc>
      </w:tr>
      <w:tr>
        <w:tc>
          <w:tcPr>
            <w:tcW w:type="dxa" w:w="2100"/>
            <w:tcMar>
              <w:top w:type="dxa" w:w="60"/>
              <w:left w:type="dxa" w:w="90"/>
              <w:bottom w:type="dxa" w:w="60"/>
              <w:right w:type="dxa" w:w="90"/>
            </w:tcMar>
          </w:tcPr>
          <w:p>
            <w:pPr>
              <w:spacing w:after="0" w:line="240"/>
              <w:jc w:val="left"/>
            </w:pPr>
            <w:r>
              <w:rPr>
                <w:sz w:val="19"/>
                <w:szCs w:val="19"/>
              </w:rPr>
              <w:t xml:space="preserve">Entrada</w:t>
            </w:r>
          </w:p>
        </w:tc>
        <w:tc>
          <w:tcPr>
            <w:tcW w:type="dxa" w:w="3400"/>
            <w:tcMar>
              <w:top w:type="dxa" w:w="60"/>
              <w:left w:type="dxa" w:w="90"/>
              <w:bottom w:type="dxa" w:w="60"/>
              <w:right w:type="dxa" w:w="90"/>
            </w:tcMar>
          </w:tcPr>
          <w:p>
            <w:pPr>
              <w:spacing w:after="0" w:line="240"/>
              <w:jc w:val="left"/>
            </w:pPr>
            <w:r>
              <w:rPr>
                <w:sz w:val="19"/>
                <w:szCs w:val="19"/>
              </w:rPr>
              <w:t xml:space="preserve">Viscosidad y clase de rendimiento</w:t>
            </w:r>
          </w:p>
        </w:tc>
        <w:tc>
          <w:tcPr>
            <w:tcW w:type="dxa" w:w="3526"/>
            <w:tcMar>
              <w:top w:type="dxa" w:w="60"/>
              <w:left w:type="dxa" w:w="90"/>
              <w:bottom w:type="dxa" w:w="60"/>
              <w:right w:type="dxa" w:w="90"/>
            </w:tcMar>
          </w:tcPr>
          <w:p>
            <w:pPr>
              <w:spacing w:after="0" w:line="240"/>
              <w:jc w:val="left"/>
            </w:pPr>
            <w:r>
              <w:rPr>
                <w:sz w:val="19"/>
                <w:szCs w:val="19"/>
              </w:rPr>
              <w:t xml:space="preserve">Viscosidad y BEP de la bomba concreta</w:t>
            </w:r>
          </w:p>
        </w:tc>
      </w:tr>
      <w:tr>
        <w:tc>
          <w:tcPr>
            <w:tcW w:type="dxa" w:w="2100"/>
            <w:tcMar>
              <w:top w:type="dxa" w:w="60"/>
              <w:left w:type="dxa" w:w="90"/>
              <w:bottom w:type="dxa" w:w="60"/>
              <w:right w:type="dxa" w:w="90"/>
            </w:tcMar>
          </w:tcPr>
          <w:p>
            <w:pPr>
              <w:spacing w:after="0" w:line="240"/>
              <w:jc w:val="left"/>
            </w:pPr>
            <w:r>
              <w:rPr>
                <w:sz w:val="19"/>
                <w:szCs w:val="19"/>
              </w:rPr>
              <w:t xml:space="preserve">Factor de altura</w:t>
            </w:r>
          </w:p>
        </w:tc>
        <w:tc>
          <w:tcPr>
            <w:tcW w:type="dxa" w:w="3400"/>
            <w:tcMar>
              <w:top w:type="dxa" w:w="60"/>
              <w:left w:type="dxa" w:w="90"/>
              <w:bottom w:type="dxa" w:w="60"/>
              <w:right w:type="dxa" w:w="90"/>
            </w:tcMar>
          </w:tcPr>
          <w:p>
            <w:pPr>
              <w:spacing w:after="0" w:line="240"/>
              <w:jc w:val="left"/>
            </w:pPr>
            <w:r>
              <w:rPr>
                <w:sz w:val="19"/>
                <w:szCs w:val="19"/>
              </w:rPr>
              <w:t xml:space="preserve">Uno solo</w:t>
            </w:r>
          </w:p>
        </w:tc>
        <w:tc>
          <w:tcPr>
            <w:tcW w:type="dxa" w:w="3526"/>
            <w:tcMar>
              <w:top w:type="dxa" w:w="60"/>
              <w:left w:type="dxa" w:w="90"/>
              <w:bottom w:type="dxa" w:w="60"/>
              <w:right w:type="dxa" w:w="90"/>
            </w:tcMar>
          </w:tcPr>
          <w:p>
            <w:pPr>
              <w:spacing w:after="0" w:line="240"/>
              <w:jc w:val="left"/>
            </w:pPr>
            <w:r>
              <w:rPr>
                <w:sz w:val="19"/>
                <w:szCs w:val="19"/>
              </w:rPr>
              <w:t xml:space="preserve">Cuatro: a 0,6 · 0,8 · 1,0 · 1,2 del caudal del BEP</w:t>
            </w:r>
          </w:p>
        </w:tc>
      </w:tr>
      <w:tr>
        <w:tc>
          <w:tcPr>
            <w:tcW w:type="dxa" w:w="2100"/>
            <w:tcMar>
              <w:top w:type="dxa" w:w="60"/>
              <w:left w:type="dxa" w:w="90"/>
              <w:bottom w:type="dxa" w:w="60"/>
              <w:right w:type="dxa" w:w="90"/>
            </w:tcMar>
          </w:tcPr>
          <w:p>
            <w:pPr>
              <w:spacing w:after="0" w:line="240"/>
              <w:jc w:val="left"/>
            </w:pPr>
            <w:r>
              <w:rPr>
                <w:sz w:val="19"/>
                <w:szCs w:val="19"/>
              </w:rPr>
              <w:t xml:space="preserve">¿Hay que saber qué bomba es?</w:t>
            </w:r>
          </w:p>
        </w:tc>
        <w:tc>
          <w:tcPr>
            <w:tcW w:type="dxa" w:w="3400"/>
            <w:tcMar>
              <w:top w:type="dxa" w:w="60"/>
              <w:left w:type="dxa" w:w="90"/>
              <w:bottom w:type="dxa" w:w="60"/>
              <w:right w:type="dxa" w:w="90"/>
            </w:tcMar>
          </w:tcPr>
          <w:p>
            <w:pPr>
              <w:spacing w:after="0" w:line="240"/>
              <w:jc w:val="left"/>
            </w:pPr>
            <w:r>
              <w:rPr>
                <w:sz w:val="19"/>
                <w:szCs w:val="19"/>
              </w:rPr>
              <w:t xml:space="preserve">No</w:t>
            </w:r>
          </w:p>
        </w:tc>
        <w:tc>
          <w:tcPr>
            <w:tcW w:type="dxa" w:w="3526"/>
            <w:tcMar>
              <w:top w:type="dxa" w:w="60"/>
              <w:left w:type="dxa" w:w="90"/>
              <w:bottom w:type="dxa" w:w="60"/>
              <w:right w:type="dxa" w:w="90"/>
            </w:tcMar>
          </w:tcPr>
          <w:p>
            <w:pPr>
              <w:spacing w:after="0" w:line="240"/>
              <w:jc w:val="left"/>
            </w:pPr>
            <w:r>
              <w:rPr>
                <w:sz w:val="19"/>
                <w:szCs w:val="19"/>
              </w:rPr>
              <w:t xml:space="preserve">Sí</w:t>
            </w:r>
          </w:p>
        </w:tc>
      </w:tr>
      <w:tr>
        <w:tc>
          <w:tcPr>
            <w:tcW w:type="dxa" w:w="2100"/>
            <w:tcMar>
              <w:top w:type="dxa" w:w="60"/>
              <w:left w:type="dxa" w:w="90"/>
              <w:bottom w:type="dxa" w:w="60"/>
              <w:right w:type="dxa" w:w="90"/>
            </w:tcMar>
          </w:tcPr>
          <w:p>
            <w:pPr>
              <w:spacing w:after="0" w:line="240"/>
              <w:jc w:val="left"/>
            </w:pPr>
            <w:r>
              <w:rPr>
                <w:sz w:val="19"/>
                <w:szCs w:val="19"/>
              </w:rPr>
              <w:t xml:space="preserve">Rol asignado</w:t>
            </w:r>
          </w:p>
        </w:tc>
        <w:tc>
          <w:tcPr>
            <w:tcW w:type="dxa" w:w="3400"/>
            <w:tcMar>
              <w:top w:type="dxa" w:w="60"/>
              <w:left w:type="dxa" w:w="90"/>
              <w:bottom w:type="dxa" w:w="60"/>
              <w:right w:type="dxa" w:w="90"/>
            </w:tcMar>
          </w:tcPr>
          <w:p>
            <w:pPr>
              <w:spacing w:after="0" w:line="240"/>
              <w:jc w:val="left"/>
            </w:pPr>
            <w:r>
              <w:rPr>
                <w:sz w:val="19"/>
                <w:szCs w:val="19"/>
              </w:rPr>
              <w:t xml:space="preserve">Camino principal: filtra el catálogo</w:t>
            </w:r>
          </w:p>
        </w:tc>
        <w:tc>
          <w:tcPr>
            <w:tcW w:type="dxa" w:w="3526"/>
            <w:tcMar>
              <w:top w:type="dxa" w:w="60"/>
              <w:left w:type="dxa" w:w="90"/>
              <w:bottom w:type="dxa" w:w="60"/>
              <w:right w:type="dxa" w:w="90"/>
            </w:tcMar>
          </w:tcPr>
          <w:p>
            <w:pPr>
              <w:spacing w:after="0" w:line="240"/>
              <w:jc w:val="left"/>
            </w:pPr>
            <w:r>
              <w:rPr>
                <w:sz w:val="19"/>
                <w:szCs w:val="19"/>
              </w:rPr>
              <w:t xml:space="preserve">Verificación de la bomba ya elegida</w:t>
            </w:r>
          </w:p>
        </w:tc>
      </w:tr>
    </w:tbl>
    <w:p>
      <w:pPr>
        <w:spacing w:after="100" w:line="276"/>
      </w:pPr>
      <w:r>
        <w:t xml:space="preserve"/>
      </w:r>
    </w:p>
    <w:p>
      <w:pPr>
        <w:spacing w:after="120" w:line="276"/>
      </w:pPr>
      <w:r>
        <w:t xml:space="preserve">Que Riling no necesite saber la bomba es justamente lo que lo hace útil como filtro: permite invertir el sentido de la corrección y salir a buscar en el catálogo. El del Hydraulic Institute no puede hacer eso —necesita el BEP, que es lo que todavía no se conoce— pero a cambio devuelve la curva corregida completa.</w:t>
      </w:r>
    </w:p>
    <w:p>
      <w:pPr>
        <w:pStyle w:val="Heading2"/>
        <w:spacing w:after="120" w:before="240"/>
      </w:pPr>
      <w:r>
        <w:rPr>
          <w:b/>
          <w:bCs/>
          <w:color w:val="1F4E79"/>
          <w:sz w:val="24"/>
          <w:szCs w:val="24"/>
        </w:rPr>
        <w:t xml:space="preserve">El sentido de la corrección: se divide</w:t>
      </w:r>
    </w:p>
    <w:p>
      <w:pPr>
        <w:spacing w:after="120" w:line="276"/>
      </w:pPr>
      <w:r>
        <w:t xml:space="preserve">Es el punto que más se presta a error. Las tablas dicen qué fracción de su curva de agua entrega la bomba moviendo el crudo:</w:t>
      </w:r>
    </w:p>
    <w:p>
      <w:pPr>
        <w:spacing w:after="100" w:line="240"/>
        <w:ind w:left="431"/>
      </w:pPr>
      <w:r>
        <w:rPr>
          <w:rFonts w:ascii="Consolas" w:cs="Consolas" w:eastAsia="Consolas" w:hAnsi="Consolas"/>
          <w:sz w:val="18"/>
          <w:szCs w:val="18"/>
        </w:rPr>
        <w:t xml:space="preserve">Q_crudo = C_Q · Q_agua          H_crudo = C_H · H_agua</w:t>
      </w:r>
    </w:p>
    <w:p>
      <w:pPr>
        <w:spacing w:after="80" w:line="276"/>
      </w:pPr>
      <w:r>
        <w:t xml:space="preserve">Para seleccionar se conoce el lado izquierdo —lo que el pozo pide— y se busca el derecho:</w:t>
      </w:r>
    </w:p>
    <w:p>
      <w:pPr>
        <w:spacing w:after="100" w:line="240"/>
        <w:ind w:left="431"/>
      </w:pPr>
      <w:r>
        <w:rPr>
          <w:rFonts w:ascii="Consolas" w:cs="Consolas" w:eastAsia="Consolas" w:hAnsi="Consolas"/>
          <w:sz w:val="18"/>
          <w:szCs w:val="18"/>
        </w:rPr>
        <w:t xml:space="preserve">Q_agua = Q_crudo / C_Q          H_agua = H_crudo / C_H</w:t>
      </w:r>
    </w:p>
    <w:p>
      <w:pPr>
        <w:spacing w:after="120" w:line="276"/>
      </w:pPr>
      <w:r>
        <w:t xml:space="preserve">Es decir: para entregar lo que el pozo pide moviendo el crudo, la bomba tiene que dar más con agua. Multiplicar en vez de dividir subdimensiona bomba y motor.</w:t>
      </w:r>
    </w:p>
    <w:p>
      <w:pPr>
        <w:pStyle w:val="Heading1"/>
        <w:spacing w:after="160" w:before="340"/>
      </w:pPr>
      <w:r>
        <w:rPr>
          <w:b/>
          <w:bCs/>
          <w:color w:val="1F4E79"/>
          <w:sz w:val="30"/>
          <w:szCs w:val="30"/>
        </w:rPr>
        <w:t xml:space="preserve">2. Verificación numérica</w:t>
      </w:r>
    </w:p>
    <w:p>
      <w:pPr>
        <w:spacing w:after="120" w:line="276"/>
      </w:pPr>
      <w:r>
        <w:t xml:space="preserve">Antes de las dudas, lo que sí cierra. Estos cuatro ejercicios se reproducen con los valores publicados:</w:t>
      </w:r>
    </w:p>
    <w:p>
      <w:pPr>
        <w:pStyle w:val="Heading2"/>
        <w:spacing w:after="120" w:before="240"/>
      </w:pPr>
      <w:r>
        <w:rPr>
          <w:b/>
          <w:bCs/>
          <w:color w:val="1F4E79"/>
          <w:sz w:val="24"/>
          <w:szCs w:val="24"/>
        </w:rPr>
        <w:t xml:space="preserve">2.1 Ejercicio de cátedra</w:t>
      </w:r>
    </w:p>
    <w:p>
      <w:pPr>
        <w:spacing w:after="100" w:line="276"/>
      </w:pPr>
      <w:r>
        <w:t xml:space="preserve">Crudo de 16 °API a 130 °F, 50 scf/bbl de gas en solución, bomba de 70 % de rendimiento máximo, 30 % de corte de agua. El pozo pide 1700 b/d y 5230 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00"/>
        <w:gridCol w:w="2426"/>
      </w:tblGrid>
      <w:tr>
        <w:trPr>
          <w:tblHeader/>
        </w:trPr>
        <w:tc>
          <w:tcPr>
            <w:tcW w:type="dxa" w:w="1900"/>
            <w:shd w:fill="F2F2F2" w:color="auto" w:val="clear"/>
            <w:tcMar>
              <w:top w:type="dxa" w:w="60"/>
              <w:left w:type="dxa" w:w="90"/>
              <w:bottom w:type="dxa" w:w="60"/>
              <w:right w:type="dxa" w:w="90"/>
            </w:tcMar>
          </w:tcPr>
          <w:p>
            <w:pPr>
              <w:spacing w:after="0" w:line="240"/>
              <w:jc w:val="left"/>
            </w:pPr>
            <w:r>
              <w:rPr>
                <w:b/>
                <w:bCs/>
                <w:sz w:val="19"/>
                <w:szCs w:val="19"/>
              </w:rPr>
              <w:t xml:space="preserve">Paso</w:t>
            </w:r>
          </w:p>
        </w:tc>
        <w:tc>
          <w:tcPr>
            <w:tcW w:type="dxa" w:w="2100"/>
            <w:shd w:fill="F2F2F2" w:color="auto" w:val="clear"/>
            <w:tcMar>
              <w:top w:type="dxa" w:w="60"/>
              <w:left w:type="dxa" w:w="90"/>
              <w:bottom w:type="dxa" w:w="60"/>
              <w:right w:type="dxa" w:w="90"/>
            </w:tcMar>
          </w:tcPr>
          <w:p>
            <w:pPr>
              <w:spacing w:after="0" w:line="240"/>
              <w:jc w:val="left"/>
            </w:pPr>
            <w:r>
              <w:rPr>
                <w:b/>
                <w:bCs/>
                <w:sz w:val="19"/>
                <w:szCs w:val="19"/>
              </w:rPr>
              <w:t xml:space="preserve">Fuente</w:t>
            </w:r>
          </w:p>
        </w:tc>
        <w:tc>
          <w:tcPr>
            <w:tcW w:type="dxa" w:w="2600"/>
            <w:shd w:fill="F2F2F2" w:color="auto" w:val="clear"/>
            <w:tcMar>
              <w:top w:type="dxa" w:w="60"/>
              <w:left w:type="dxa" w:w="90"/>
              <w:bottom w:type="dxa" w:w="60"/>
              <w:right w:type="dxa" w:w="90"/>
            </w:tcMar>
          </w:tcPr>
          <w:p>
            <w:pPr>
              <w:spacing w:after="0" w:line="240"/>
              <w:jc w:val="left"/>
            </w:pPr>
            <w:r>
              <w:rPr>
                <w:b/>
                <w:bCs/>
                <w:sz w:val="19"/>
                <w:szCs w:val="19"/>
              </w:rPr>
              <w:t xml:space="preserve">Impreso</w:t>
            </w:r>
          </w:p>
        </w:tc>
        <w:tc>
          <w:tcPr>
            <w:tcW w:type="dxa" w:w="2426"/>
            <w:shd w:fill="F2F2F2" w:color="auto" w:val="clear"/>
            <w:tcMar>
              <w:top w:type="dxa" w:w="60"/>
              <w:left w:type="dxa" w:w="90"/>
              <w:bottom w:type="dxa" w:w="60"/>
              <w:right w:type="dxa" w:w="90"/>
            </w:tcMar>
          </w:tcPr>
          <w:p>
            <w:pPr>
              <w:spacing w:after="0" w:line="240"/>
              <w:jc w:val="left"/>
            </w:pPr>
            <w:r>
              <w:rPr>
                <w:b/>
                <w:bCs/>
                <w:sz w:val="19"/>
                <w:szCs w:val="19"/>
              </w:rPr>
              <w:t xml:space="preserve">App</w:t>
            </w:r>
          </w:p>
        </w:tc>
      </w:tr>
      <w:tr>
        <w:tc>
          <w:tcPr>
            <w:tcW w:type="dxa" w:w="1900"/>
            <w:tcMar>
              <w:top w:type="dxa" w:w="60"/>
              <w:left w:type="dxa" w:w="90"/>
              <w:bottom w:type="dxa" w:w="60"/>
              <w:right w:type="dxa" w:w="90"/>
            </w:tcMar>
          </w:tcPr>
          <w:p>
            <w:pPr>
              <w:spacing w:after="0" w:line="240"/>
              <w:jc w:val="left"/>
            </w:pPr>
            <w:r>
              <w:rPr>
                <w:sz w:val="19"/>
                <w:szCs w:val="19"/>
              </w:rPr>
              <w:t xml:space="preserve">2 — crudo sin gas</w:t>
            </w:r>
          </w:p>
        </w:tc>
        <w:tc>
          <w:tcPr>
            <w:tcW w:type="dxa" w:w="2100"/>
            <w:tcMar>
              <w:top w:type="dxa" w:w="60"/>
              <w:left w:type="dxa" w:w="90"/>
              <w:bottom w:type="dxa" w:w="60"/>
              <w:right w:type="dxa" w:w="90"/>
            </w:tcMar>
          </w:tcPr>
          <w:p>
            <w:pPr>
              <w:spacing w:after="0" w:line="240"/>
              <w:jc w:val="left"/>
            </w:pPr>
            <w:r>
              <w:rPr>
                <w:sz w:val="19"/>
                <w:szCs w:val="19"/>
              </w:rPr>
              <w:t xml:space="preserve">Fig. 4L (2)</w:t>
            </w:r>
          </w:p>
        </w:tc>
        <w:tc>
          <w:tcPr>
            <w:tcW w:type="dxa" w:w="2600"/>
            <w:tcMar>
              <w:top w:type="dxa" w:w="60"/>
              <w:left w:type="dxa" w:w="90"/>
              <w:bottom w:type="dxa" w:w="60"/>
              <w:right w:type="dxa" w:w="90"/>
            </w:tcMar>
          </w:tcPr>
          <w:p>
            <w:pPr>
              <w:spacing w:after="0" w:line="240"/>
              <w:jc w:val="left"/>
            </w:pPr>
            <w:r>
              <w:rPr>
                <w:sz w:val="19"/>
                <w:szCs w:val="19"/>
              </w:rPr>
              <w:t xml:space="preserve">150 cp</w:t>
            </w:r>
          </w:p>
        </w:tc>
        <w:tc>
          <w:tcPr>
            <w:tcW w:type="dxa" w:w="2426"/>
            <w:tcMar>
              <w:top w:type="dxa" w:w="60"/>
              <w:left w:type="dxa" w:w="90"/>
              <w:bottom w:type="dxa" w:w="60"/>
              <w:right w:type="dxa" w:w="90"/>
            </w:tcMar>
          </w:tcPr>
          <w:p>
            <w:pPr>
              <w:spacing w:after="0" w:line="240"/>
              <w:jc w:val="left"/>
            </w:pPr>
            <w:r>
              <w:rPr>
                <w:sz w:val="19"/>
                <w:szCs w:val="19"/>
              </w:rPr>
              <w:t xml:space="preserve">150 cp (dato)</w:t>
            </w:r>
          </w:p>
        </w:tc>
      </w:tr>
      <w:tr>
        <w:tc>
          <w:tcPr>
            <w:tcW w:type="dxa" w:w="1900"/>
            <w:tcMar>
              <w:top w:type="dxa" w:w="60"/>
              <w:left w:type="dxa" w:w="90"/>
              <w:bottom w:type="dxa" w:w="60"/>
              <w:right w:type="dxa" w:w="90"/>
            </w:tcMar>
          </w:tcPr>
          <w:p>
            <w:pPr>
              <w:spacing w:after="0" w:line="240"/>
              <w:jc w:val="left"/>
            </w:pPr>
            <w:r>
              <w:rPr>
                <w:sz w:val="19"/>
                <w:szCs w:val="19"/>
              </w:rPr>
              <w:t xml:space="preserve">3 — saturado con gas</w:t>
            </w:r>
          </w:p>
        </w:tc>
        <w:tc>
          <w:tcPr>
            <w:tcW w:type="dxa" w:w="2100"/>
            <w:tcMar>
              <w:top w:type="dxa" w:w="60"/>
              <w:left w:type="dxa" w:w="90"/>
              <w:bottom w:type="dxa" w:w="60"/>
              <w:right w:type="dxa" w:w="90"/>
            </w:tcMar>
          </w:tcPr>
          <w:p>
            <w:pPr>
              <w:spacing w:after="0" w:line="240"/>
              <w:jc w:val="left"/>
            </w:pPr>
            <w:r>
              <w:rPr>
                <w:sz w:val="19"/>
                <w:szCs w:val="19"/>
              </w:rPr>
              <w:t xml:space="preserve">Fig. 4L (1)</w:t>
            </w:r>
          </w:p>
        </w:tc>
        <w:tc>
          <w:tcPr>
            <w:tcW w:type="dxa" w:w="2600"/>
            <w:tcMar>
              <w:top w:type="dxa" w:w="60"/>
              <w:left w:type="dxa" w:w="90"/>
              <w:bottom w:type="dxa" w:w="60"/>
              <w:right w:type="dxa" w:w="90"/>
            </w:tcMar>
          </w:tcPr>
          <w:p>
            <w:pPr>
              <w:spacing w:after="0" w:line="240"/>
              <w:jc w:val="left"/>
            </w:pPr>
            <w:r>
              <w:rPr>
                <w:sz w:val="19"/>
                <w:szCs w:val="19"/>
              </w:rPr>
              <w:t xml:space="preserve">68 cp</w:t>
            </w:r>
          </w:p>
        </w:tc>
        <w:tc>
          <w:tcPr>
            <w:tcW w:type="dxa" w:w="2426"/>
            <w:tcMar>
              <w:top w:type="dxa" w:w="60"/>
              <w:left w:type="dxa" w:w="90"/>
              <w:bottom w:type="dxa" w:w="60"/>
              <w:right w:type="dxa" w:w="90"/>
            </w:tcMar>
          </w:tcPr>
          <w:p>
            <w:pPr>
              <w:spacing w:after="0" w:line="240"/>
              <w:jc w:val="left"/>
            </w:pPr>
            <w:r>
              <w:rPr>
                <w:sz w:val="19"/>
                <w:szCs w:val="19"/>
              </w:rPr>
              <w:t xml:space="preserve">68 cp</w:t>
            </w:r>
          </w:p>
        </w:tc>
      </w:tr>
      <w:tr>
        <w:tc>
          <w:tcPr>
            <w:tcW w:type="dxa" w:w="1900"/>
            <w:tcMar>
              <w:top w:type="dxa" w:w="60"/>
              <w:left w:type="dxa" w:w="90"/>
              <w:bottom w:type="dxa" w:w="60"/>
              <w:right w:type="dxa" w:w="90"/>
            </w:tcMar>
          </w:tcPr>
          <w:p>
            <w:pPr>
              <w:spacing w:after="0" w:line="240"/>
              <w:jc w:val="left"/>
            </w:pPr>
            <w:r>
              <w:rPr>
                <w:sz w:val="19"/>
                <w:szCs w:val="19"/>
              </w:rPr>
              <w:t xml:space="preserve">4 — a SSU</w:t>
            </w:r>
          </w:p>
        </w:tc>
        <w:tc>
          <w:tcPr>
            <w:tcW w:type="dxa" w:w="2100"/>
            <w:tcMar>
              <w:top w:type="dxa" w:w="60"/>
              <w:left w:type="dxa" w:w="90"/>
              <w:bottom w:type="dxa" w:w="60"/>
              <w:right w:type="dxa" w:w="90"/>
            </w:tcMar>
          </w:tcPr>
          <w:p>
            <w:pPr>
              <w:spacing w:after="0" w:line="240"/>
              <w:jc w:val="left"/>
            </w:pPr>
            <w:r>
              <w:rPr>
                <w:sz w:val="19"/>
                <w:szCs w:val="19"/>
              </w:rPr>
              <w:t xml:space="preserve">Fig. 4L (3)</w:t>
            </w:r>
          </w:p>
        </w:tc>
        <w:tc>
          <w:tcPr>
            <w:tcW w:type="dxa" w:w="2600"/>
            <w:tcMar>
              <w:top w:type="dxa" w:w="60"/>
              <w:left w:type="dxa" w:w="90"/>
              <w:bottom w:type="dxa" w:w="60"/>
              <w:right w:type="dxa" w:w="90"/>
            </w:tcMar>
          </w:tcPr>
          <w:p>
            <w:pPr>
              <w:spacing w:after="0" w:line="240"/>
              <w:jc w:val="left"/>
            </w:pPr>
            <w:r>
              <w:rPr>
                <w:sz w:val="19"/>
                <w:szCs w:val="19"/>
              </w:rPr>
              <w:t xml:space="preserve">325 SSU</w:t>
            </w:r>
          </w:p>
        </w:tc>
        <w:tc>
          <w:tcPr>
            <w:tcW w:type="dxa" w:w="2426"/>
            <w:tcMar>
              <w:top w:type="dxa" w:w="60"/>
              <w:left w:type="dxa" w:w="90"/>
              <w:bottom w:type="dxa" w:w="60"/>
              <w:right w:type="dxa" w:w="90"/>
            </w:tcMar>
          </w:tcPr>
          <w:p>
            <w:pPr>
              <w:spacing w:after="0" w:line="240"/>
              <w:jc w:val="left"/>
            </w:pPr>
            <w:r>
              <w:rPr>
                <w:sz w:val="19"/>
                <w:szCs w:val="19"/>
              </w:rPr>
              <w:t xml:space="preserve">325 SSU</w:t>
            </w:r>
          </w:p>
        </w:tc>
      </w:tr>
      <w:tr>
        <w:tc>
          <w:tcPr>
            <w:tcW w:type="dxa" w:w="1900"/>
            <w:tcMar>
              <w:top w:type="dxa" w:w="60"/>
              <w:left w:type="dxa" w:w="90"/>
              <w:bottom w:type="dxa" w:w="60"/>
              <w:right w:type="dxa" w:w="90"/>
            </w:tcMar>
          </w:tcPr>
          <w:p>
            <w:pPr>
              <w:spacing w:after="0" w:line="240"/>
              <w:jc w:val="left"/>
            </w:pPr>
            <w:r>
              <w:rPr>
                <w:sz w:val="19"/>
                <w:szCs w:val="19"/>
              </w:rPr>
              <w:t xml:space="preserve">5 — corte de agua</w:t>
            </w:r>
          </w:p>
        </w:tc>
        <w:tc>
          <w:tcPr>
            <w:tcW w:type="dxa" w:w="2100"/>
            <w:tcMar>
              <w:top w:type="dxa" w:w="60"/>
              <w:left w:type="dxa" w:w="90"/>
              <w:bottom w:type="dxa" w:w="60"/>
              <w:right w:type="dxa" w:w="90"/>
            </w:tcMar>
          </w:tcPr>
          <w:p>
            <w:pPr>
              <w:spacing w:after="0" w:line="240"/>
              <w:jc w:val="left"/>
            </w:pPr>
            <w:r>
              <w:rPr>
                <w:sz w:val="19"/>
                <w:szCs w:val="19"/>
              </w:rPr>
              <w:t xml:space="preserve">medido</w:t>
            </w:r>
          </w:p>
        </w:tc>
        <w:tc>
          <w:tcPr>
            <w:tcW w:type="dxa" w:w="2600"/>
            <w:tcMar>
              <w:top w:type="dxa" w:w="60"/>
              <w:left w:type="dxa" w:w="90"/>
              <w:bottom w:type="dxa" w:w="60"/>
              <w:right w:type="dxa" w:w="90"/>
            </w:tcMar>
          </w:tcPr>
          <w:p>
            <w:pPr>
              <w:spacing w:after="0" w:line="240"/>
              <w:jc w:val="left"/>
            </w:pPr>
            <w:r>
              <w:rPr>
                <w:sz w:val="19"/>
                <w:szCs w:val="19"/>
              </w:rPr>
              <w:t xml:space="preserve">650 SSU</w:t>
            </w:r>
          </w:p>
        </w:tc>
        <w:tc>
          <w:tcPr>
            <w:tcW w:type="dxa" w:w="2426"/>
            <w:tcMar>
              <w:top w:type="dxa" w:w="60"/>
              <w:left w:type="dxa" w:w="90"/>
              <w:bottom w:type="dxa" w:w="60"/>
              <w:right w:type="dxa" w:w="90"/>
            </w:tcMar>
          </w:tcPr>
          <w:p>
            <w:pPr>
              <w:spacing w:after="0" w:line="240"/>
              <w:jc w:val="left"/>
            </w:pPr>
            <w:r>
              <w:rPr>
                <w:sz w:val="19"/>
                <w:szCs w:val="19"/>
              </w:rPr>
              <w:t xml:space="preserve">650 SSU (dato)</w:t>
            </w:r>
          </w:p>
        </w:tc>
      </w:tr>
      <w:tr>
        <w:tc>
          <w:tcPr>
            <w:tcW w:type="dxa" w:w="1900"/>
            <w:tcMar>
              <w:top w:type="dxa" w:w="60"/>
              <w:left w:type="dxa" w:w="90"/>
              <w:bottom w:type="dxa" w:w="60"/>
              <w:right w:type="dxa" w:w="90"/>
            </w:tcMar>
          </w:tcPr>
          <w:p>
            <w:pPr>
              <w:spacing w:after="0" w:line="240"/>
              <w:jc w:val="left"/>
            </w:pPr>
            <w:r>
              <w:rPr>
                <w:sz w:val="19"/>
                <w:szCs w:val="19"/>
              </w:rPr>
              <w:t xml:space="preserve">6 — factores</w:t>
            </w:r>
          </w:p>
        </w:tc>
        <w:tc>
          <w:tcPr>
            <w:tcW w:type="dxa" w:w="2100"/>
            <w:tcMar>
              <w:top w:type="dxa" w:w="60"/>
              <w:left w:type="dxa" w:w="90"/>
              <w:bottom w:type="dxa" w:w="60"/>
              <w:right w:type="dxa" w:w="90"/>
            </w:tcMar>
          </w:tcPr>
          <w:p>
            <w:pPr>
              <w:spacing w:after="0" w:line="240"/>
              <w:jc w:val="left"/>
            </w:pPr>
            <w:r>
              <w:rPr>
                <w:sz w:val="19"/>
                <w:szCs w:val="19"/>
              </w:rPr>
              <w:t xml:space="preserve">Tabla 4.521</w:t>
            </w:r>
          </w:p>
        </w:tc>
        <w:tc>
          <w:tcPr>
            <w:tcW w:type="dxa" w:w="2600"/>
            <w:tcMar>
              <w:top w:type="dxa" w:w="60"/>
              <w:left w:type="dxa" w:w="90"/>
              <w:bottom w:type="dxa" w:w="60"/>
              <w:right w:type="dxa" w:w="90"/>
            </w:tcMar>
          </w:tcPr>
          <w:p>
            <w:pPr>
              <w:spacing w:after="0" w:line="240"/>
              <w:jc w:val="left"/>
            </w:pPr>
            <w:r>
              <w:rPr>
                <w:sz w:val="19"/>
                <w:szCs w:val="19"/>
              </w:rPr>
              <w:t xml:space="preserve">88 % / 88,75 % / 117,3 %</w:t>
            </w:r>
          </w:p>
        </w:tc>
        <w:tc>
          <w:tcPr>
            <w:tcW w:type="dxa" w:w="2426"/>
            <w:tcMar>
              <w:top w:type="dxa" w:w="60"/>
              <w:left w:type="dxa" w:w="90"/>
              <w:bottom w:type="dxa" w:w="60"/>
              <w:right w:type="dxa" w:w="90"/>
            </w:tcMar>
          </w:tcPr>
          <w:p>
            <w:pPr>
              <w:spacing w:after="0" w:line="240"/>
              <w:jc w:val="left"/>
            </w:pPr>
            <w:r>
              <w:rPr>
                <w:sz w:val="19"/>
                <w:szCs w:val="19"/>
              </w:rPr>
              <w:t xml:space="preserve">idénticos</w:t>
            </w:r>
          </w:p>
        </w:tc>
      </w:tr>
      <w:tr>
        <w:tc>
          <w:tcPr>
            <w:tcW w:type="dxa" w:w="1900"/>
            <w:tcMar>
              <w:top w:type="dxa" w:w="60"/>
              <w:left w:type="dxa" w:w="90"/>
              <w:bottom w:type="dxa" w:w="60"/>
              <w:right w:type="dxa" w:w="90"/>
            </w:tcMar>
          </w:tcPr>
          <w:p>
            <w:pPr>
              <w:spacing w:after="0" w:line="240"/>
              <w:jc w:val="left"/>
            </w:pPr>
            <w:r>
              <w:rPr>
                <w:sz w:val="19"/>
                <w:szCs w:val="19"/>
              </w:rPr>
              <w:t xml:space="preserve">7 — selección</w:t>
            </w:r>
          </w:p>
        </w:tc>
        <w:tc>
          <w:tcPr>
            <w:tcW w:type="dxa" w:w="2100"/>
            <w:tcMar>
              <w:top w:type="dxa" w:w="60"/>
              <w:left w:type="dxa" w:w="90"/>
              <w:bottom w:type="dxa" w:w="60"/>
              <w:right w:type="dxa" w:w="90"/>
            </w:tcMar>
          </w:tcPr>
          <w:p>
            <w:pPr>
              <w:spacing w:after="0" w:line="240"/>
              <w:jc w:val="left"/>
            </w:pPr>
            <w:r>
              <w:rPr>
                <w:sz w:val="19"/>
                <w:szCs w:val="19"/>
              </w:rPr>
              <w:t xml:space="preserve">1700/0,88 ; 5230/0,8875</w:t>
            </w:r>
          </w:p>
        </w:tc>
        <w:tc>
          <w:tcPr>
            <w:tcW w:type="dxa" w:w="2600"/>
            <w:tcMar>
              <w:top w:type="dxa" w:w="60"/>
              <w:left w:type="dxa" w:w="90"/>
              <w:bottom w:type="dxa" w:w="60"/>
              <w:right w:type="dxa" w:w="90"/>
            </w:tcMar>
          </w:tcPr>
          <w:p>
            <w:pPr>
              <w:spacing w:after="0" w:line="240"/>
              <w:jc w:val="left"/>
            </w:pPr>
            <w:r>
              <w:rPr>
                <w:sz w:val="19"/>
                <w:szCs w:val="19"/>
              </w:rPr>
              <w:t xml:space="preserve">1932 b/d y 5893 ft</w:t>
            </w:r>
          </w:p>
        </w:tc>
        <w:tc>
          <w:tcPr>
            <w:tcW w:type="dxa" w:w="2426"/>
            <w:tcMar>
              <w:top w:type="dxa" w:w="60"/>
              <w:left w:type="dxa" w:w="90"/>
              <w:bottom w:type="dxa" w:w="60"/>
              <w:right w:type="dxa" w:w="90"/>
            </w:tcMar>
          </w:tcPr>
          <w:p>
            <w:pPr>
              <w:spacing w:after="0" w:line="240"/>
              <w:jc w:val="left"/>
            </w:pPr>
            <w:r>
              <w:rPr>
                <w:sz w:val="19"/>
                <w:szCs w:val="19"/>
              </w:rPr>
              <w:t xml:space="preserve">1932 b/d y 5893 ft</w:t>
            </w:r>
          </w:p>
        </w:tc>
      </w:tr>
    </w:tbl>
    <w:p>
      <w:pPr>
        <w:spacing w:after="140" w:line="276"/>
      </w:pPr>
      <w:r>
        <w:t xml:space="preserve"/>
      </w:r>
    </w:p>
    <w:p>
      <w:pPr>
        <w:pStyle w:val="Heading2"/>
        <w:spacing w:after="120" w:before="240"/>
      </w:pPr>
      <w:r>
        <w:rPr>
          <w:b/>
          <w:bCs/>
          <w:color w:val="1F4E79"/>
          <w:sz w:val="24"/>
          <w:szCs w:val="24"/>
        </w:rPr>
        <w:t xml:space="preserve">2.2 Los tres ejemplos del Hydraulic Institute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shd w:fill="F2F2F2" w:color="auto" w:val="clear"/>
            <w:tcMar>
              <w:top w:type="dxa" w:w="60"/>
              <w:left w:type="dxa" w:w="90"/>
              <w:bottom w:type="dxa" w:w="60"/>
              <w:right w:type="dxa" w:w="90"/>
            </w:tcMar>
          </w:tcPr>
          <w:p>
            <w:pPr>
              <w:spacing w:after="0" w:line="240"/>
              <w:jc w:val="left"/>
            </w:pPr>
            <w:r>
              <w:rPr>
                <w:b/>
                <w:bCs/>
                <w:sz w:val="19"/>
                <w:szCs w:val="19"/>
              </w:rPr>
              <w:t xml:space="preserve">Ejemplo</w:t>
            </w:r>
          </w:p>
        </w:tc>
        <w:tc>
          <w:tcPr>
            <w:tcW w:type="dxa" w:w="2400"/>
            <w:shd w:fill="F2F2F2" w:color="auto" w:val="clear"/>
            <w:tcMar>
              <w:top w:type="dxa" w:w="60"/>
              <w:left w:type="dxa" w:w="90"/>
              <w:bottom w:type="dxa" w:w="60"/>
              <w:right w:type="dxa" w:w="90"/>
            </w:tcMar>
          </w:tcPr>
          <w:p>
            <w:pPr>
              <w:spacing w:after="0" w:line="240"/>
              <w:jc w:val="left"/>
            </w:pPr>
            <w:r>
              <w:rPr>
                <w:b/>
                <w:bCs/>
                <w:sz w:val="19"/>
                <w:szCs w:val="19"/>
              </w:rPr>
              <w:t xml:space="preserve">Fuente</w:t>
            </w:r>
          </w:p>
        </w:tc>
        <w:tc>
          <w:tcPr>
            <w:tcW w:type="dxa" w:w="5126"/>
            <w:shd w:fill="F2F2F2" w:color="auto" w:val="clear"/>
            <w:tcMar>
              <w:top w:type="dxa" w:w="60"/>
              <w:left w:type="dxa" w:w="90"/>
              <w:bottom w:type="dxa" w:w="60"/>
              <w:right w:type="dxa" w:w="90"/>
            </w:tcMar>
          </w:tcPr>
          <w:p>
            <w:pPr>
              <w:spacing w:after="0" w:line="240"/>
              <w:jc w:val="left"/>
            </w:pPr>
            <w:r>
              <w:rPr>
                <w:b/>
                <w:bCs/>
                <w:sz w:val="19"/>
                <w:szCs w:val="19"/>
              </w:rPr>
              <w:t xml:space="preserve">Qué se reprodujo</w:t>
            </w:r>
          </w:p>
        </w:tc>
      </w:tr>
      <w:tr>
        <w:tc>
          <w:tcPr>
            <w:tcW w:type="dxa" w:w="1500"/>
            <w:tcMar>
              <w:top w:type="dxa" w:w="60"/>
              <w:left w:type="dxa" w:w="90"/>
              <w:bottom w:type="dxa" w:w="60"/>
              <w:right w:type="dxa" w:w="90"/>
            </w:tcMar>
          </w:tcPr>
          <w:p>
            <w:pPr>
              <w:spacing w:after="0" w:line="240"/>
              <w:jc w:val="left"/>
            </w:pPr>
            <w:r>
              <w:rPr>
                <w:sz w:val="19"/>
                <w:szCs w:val="19"/>
              </w:rPr>
              <w:t xml:space="preserve">4.1</w:t>
            </w:r>
          </w:p>
        </w:tc>
        <w:tc>
          <w:tcPr>
            <w:tcW w:type="dxa" w:w="2400"/>
            <w:tcMar>
              <w:top w:type="dxa" w:w="60"/>
              <w:left w:type="dxa" w:w="90"/>
              <w:bottom w:type="dxa" w:w="60"/>
              <w:right w:type="dxa" w:w="90"/>
            </w:tcMar>
          </w:tcPr>
          <w:p>
            <w:pPr>
              <w:spacing w:after="0" w:line="240"/>
              <w:jc w:val="left"/>
            </w:pPr>
            <w:r>
              <w:rPr>
                <w:sz w:val="19"/>
                <w:szCs w:val="19"/>
              </w:rPr>
              <w:t xml:space="preserve">Takács, pág. 157</w:t>
            </w:r>
          </w:p>
        </w:tc>
        <w:tc>
          <w:tcPr>
            <w:tcW w:type="dxa" w:w="5126"/>
            <w:tcMar>
              <w:top w:type="dxa" w:w="60"/>
              <w:left w:type="dxa" w:w="90"/>
              <w:bottom w:type="dxa" w:w="60"/>
              <w:right w:type="dxa" w:w="90"/>
            </w:tcMar>
          </w:tcPr>
          <w:p>
            <w:pPr>
              <w:spacing w:after="0" w:line="240"/>
              <w:jc w:val="left"/>
            </w:pPr>
            <w:r>
              <w:rPr>
                <w:sz w:val="19"/>
                <w:szCs w:val="19"/>
              </w:rPr>
              <w:t xml:space="preserve">y = −4,276 · Q* = 23,34 · C_Q = 0,812 · C_η = 0,385 · la curva corregida completa</w:t>
            </w:r>
          </w:p>
        </w:tc>
      </w:tr>
      <w:tr>
        <w:tc>
          <w:tcPr>
            <w:tcW w:type="dxa" w:w="1500"/>
            <w:tcMar>
              <w:top w:type="dxa" w:w="60"/>
              <w:left w:type="dxa" w:w="90"/>
              <w:bottom w:type="dxa" w:w="60"/>
              <w:right w:type="dxa" w:w="90"/>
            </w:tcMar>
          </w:tcPr>
          <w:p>
            <w:pPr>
              <w:spacing w:after="0" w:line="240"/>
              <w:jc w:val="left"/>
            </w:pPr>
            <w:r>
              <w:rPr>
                <w:sz w:val="19"/>
                <w:szCs w:val="19"/>
              </w:rPr>
              <w:t xml:space="preserve">4.2</w:t>
            </w:r>
          </w:p>
        </w:tc>
        <w:tc>
          <w:tcPr>
            <w:tcW w:type="dxa" w:w="2400"/>
            <w:tcMar>
              <w:top w:type="dxa" w:w="60"/>
              <w:left w:type="dxa" w:w="90"/>
              <w:bottom w:type="dxa" w:w="60"/>
              <w:right w:type="dxa" w:w="90"/>
            </w:tcMar>
          </w:tcPr>
          <w:p>
            <w:pPr>
              <w:spacing w:after="0" w:line="240"/>
              <w:jc w:val="left"/>
            </w:pPr>
            <w:r>
              <w:rPr>
                <w:sz w:val="19"/>
                <w:szCs w:val="19"/>
              </w:rPr>
              <w:t xml:space="preserve">Takács, pág. 159</w:t>
            </w:r>
          </w:p>
        </w:tc>
        <w:tc>
          <w:tcPr>
            <w:tcW w:type="dxa" w:w="5126"/>
            <w:tcMar>
              <w:top w:type="dxa" w:w="60"/>
              <w:left w:type="dxa" w:w="90"/>
              <w:bottom w:type="dxa" w:w="60"/>
              <w:right w:type="dxa" w:w="90"/>
            </w:tcMar>
          </w:tcPr>
          <w:p>
            <w:pPr>
              <w:spacing w:after="0" w:line="240"/>
              <w:jc w:val="left"/>
            </w:pPr>
            <w:r>
              <w:rPr>
                <w:sz w:val="19"/>
                <w:szCs w:val="19"/>
              </w:rPr>
              <w:t xml:space="preserve">88 cSt → 402 SSU · tabla Centrilift · BEP a 762 bpd, 19,8 ft, 31,8 %, 0,34 HP</w:t>
            </w:r>
          </w:p>
        </w:tc>
      </w:tr>
      <w:tr>
        <w:tc>
          <w:tcPr>
            <w:tcW w:type="dxa" w:w="1500"/>
            <w:tcMar>
              <w:top w:type="dxa" w:w="60"/>
              <w:left w:type="dxa" w:w="90"/>
              <w:bottom w:type="dxa" w:w="60"/>
              <w:right w:type="dxa" w:w="90"/>
            </w:tcMar>
          </w:tcPr>
          <w:p>
            <w:pPr>
              <w:spacing w:after="0" w:line="240"/>
              <w:jc w:val="left"/>
            </w:pPr>
            <w:r>
              <w:rPr>
                <w:sz w:val="19"/>
                <w:szCs w:val="19"/>
              </w:rPr>
              <w:t xml:space="preserve">Turzo et al.</w:t>
            </w:r>
          </w:p>
        </w:tc>
        <w:tc>
          <w:tcPr>
            <w:tcW w:type="dxa" w:w="2400"/>
            <w:tcMar>
              <w:top w:type="dxa" w:w="60"/>
              <w:left w:type="dxa" w:w="90"/>
              <w:bottom w:type="dxa" w:w="60"/>
              <w:right w:type="dxa" w:w="90"/>
            </w:tcMar>
          </w:tcPr>
          <w:p>
            <w:pPr>
              <w:spacing w:after="0" w:line="240"/>
              <w:jc w:val="left"/>
            </w:pPr>
            <w:r>
              <w:rPr>
                <w:sz w:val="19"/>
                <w:szCs w:val="19"/>
              </w:rPr>
              <w:t xml:space="preserve">Oil &amp; Gas Journal, 29-05-2000</w:t>
            </w:r>
          </w:p>
        </w:tc>
        <w:tc>
          <w:tcPr>
            <w:tcW w:type="dxa" w:w="5126"/>
            <w:tcMar>
              <w:top w:type="dxa" w:w="60"/>
              <w:left w:type="dxa" w:w="90"/>
              <w:bottom w:type="dxa" w:w="60"/>
              <w:right w:type="dxa" w:w="90"/>
            </w:tcMar>
          </w:tcPr>
          <w:p>
            <w:pPr>
              <w:spacing w:after="0" w:line="240"/>
              <w:jc w:val="left"/>
            </w:pPr>
            <w:r>
              <w:rPr>
                <w:sz w:val="19"/>
                <w:szCs w:val="19"/>
              </w:rPr>
              <w:t xml:space="preserve">y = 94,7 · Q* = 2,698 · C_Q = 0,9879 · C_η = 0,9129</w:t>
            </w:r>
          </w:p>
        </w:tc>
      </w:tr>
    </w:tbl>
    <w:p>
      <w:pPr>
        <w:spacing w:after="100" w:line="276"/>
      </w:pPr>
      <w:r>
        <w:t xml:space="preserve"/>
      </w:r>
    </w:p>
    <w:p>
      <w:pPr>
        <w:spacing w:after="120" w:line="276"/>
      </w:pPr>
      <w:r>
        <w:rPr>
          <w:i/>
          <w:iCs/>
        </w:rPr>
        <w:t xml:space="preserve">El único valor que no coincide con el impreso es un factor del Ejemplo 4.1, por una errata que detallo en 5.1.</w:t>
      </w:r>
    </w:p>
    <w:p>
      <w:pPr>
        <w:pStyle w:val="Heading2"/>
        <w:spacing w:after="120" w:before="240"/>
      </w:pPr>
      <w:r>
        <w:rPr>
          <w:b/>
          <w:bCs/>
          <w:color w:val="1F4E79"/>
          <w:sz w:val="24"/>
          <w:szCs w:val="24"/>
        </w:rPr>
        <w:t xml:space="preserve">2.3 Efecto sobre un pozo completo</w:t>
      </w:r>
    </w:p>
    <w:p>
      <w:pPr>
        <w:spacing w:after="100" w:line="276"/>
      </w:pPr>
      <w:r>
        <w:t xml:space="preserve">Mismo pozo, cambiando sólo el crudo. Caudal objetivo 1500 STB/d, bomba DN1800, admisión a 5600 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300"/>
        <w:gridCol w:w="2300"/>
      </w:tblGrid>
      <w:tr>
        <w:trPr>
          <w:tblHeader/>
        </w:trPr>
        <w:tc>
          <w:tcPr>
            <w:tcW w:type="dxa" w:w="4426"/>
            <w:shd w:fill="F2F2F2" w:color="auto" w:val="clear"/>
            <w:tcMar>
              <w:top w:type="dxa" w:w="60"/>
              <w:left w:type="dxa" w:w="90"/>
              <w:bottom w:type="dxa" w:w="60"/>
              <w:right w:type="dxa" w:w="90"/>
            </w:tcMar>
          </w:tcPr>
          <w:p>
            <w:pPr>
              <w:spacing w:after="0" w:line="240"/>
              <w:jc w:val="left"/>
            </w:pPr>
            <w:r>
              <w:rPr>
                <w:b/>
                <w:bCs/>
                <w:sz w:val="19"/>
                <w:szCs w:val="19"/>
              </w:rPr>
              <w:t xml:space="preserve"/>
            </w:r>
          </w:p>
        </w:tc>
        <w:tc>
          <w:tcPr>
            <w:tcW w:type="dxa" w:w="2300"/>
            <w:shd w:fill="F2F2F2" w:color="auto" w:val="clear"/>
            <w:tcMar>
              <w:top w:type="dxa" w:w="60"/>
              <w:left w:type="dxa" w:w="90"/>
              <w:bottom w:type="dxa" w:w="60"/>
              <w:right w:type="dxa" w:w="90"/>
            </w:tcMar>
          </w:tcPr>
          <w:p>
            <w:pPr>
              <w:spacing w:after="0" w:line="240"/>
              <w:jc w:val="right"/>
            </w:pPr>
            <w:r>
              <w:rPr>
                <w:b/>
                <w:bCs/>
                <w:sz w:val="19"/>
                <w:szCs w:val="19"/>
              </w:rPr>
              <w:t xml:space="preserve">32 °API (liviano)</w:t>
            </w:r>
          </w:p>
        </w:tc>
        <w:tc>
          <w:tcPr>
            <w:tcW w:type="dxa" w:w="2300"/>
            <w:shd w:fill="F2F2F2" w:color="auto" w:val="clear"/>
            <w:tcMar>
              <w:top w:type="dxa" w:w="60"/>
              <w:left w:type="dxa" w:w="90"/>
              <w:bottom w:type="dxa" w:w="60"/>
              <w:right w:type="dxa" w:w="90"/>
            </w:tcMar>
          </w:tcPr>
          <w:p>
            <w:pPr>
              <w:spacing w:after="0" w:line="240"/>
              <w:jc w:val="right"/>
            </w:pPr>
            <w:r>
              <w:rPr>
                <w:b/>
                <w:bCs/>
                <w:sz w:val="19"/>
                <w:szCs w:val="19"/>
              </w:rPr>
              <w:t xml:space="preserve">16 °API, 150 cp</w:t>
            </w:r>
          </w:p>
        </w:tc>
      </w:tr>
      <w:tr>
        <w:tc>
          <w:tcPr>
            <w:tcW w:type="dxa" w:w="4426"/>
            <w:tcMar>
              <w:top w:type="dxa" w:w="60"/>
              <w:left w:type="dxa" w:w="90"/>
              <w:bottom w:type="dxa" w:w="60"/>
              <w:right w:type="dxa" w:w="90"/>
            </w:tcMar>
          </w:tcPr>
          <w:p>
            <w:pPr>
              <w:spacing w:after="0" w:line="240"/>
              <w:jc w:val="left"/>
            </w:pPr>
            <w:r>
              <w:rPr>
                <w:sz w:val="19"/>
                <w:szCs w:val="19"/>
              </w:rPr>
              <w:t xml:space="preserve">Caudal contra el que se busca la bomba</w:t>
            </w:r>
          </w:p>
        </w:tc>
        <w:tc>
          <w:tcPr>
            <w:tcW w:type="dxa" w:w="2300"/>
            <w:tcMar>
              <w:top w:type="dxa" w:w="60"/>
              <w:left w:type="dxa" w:w="90"/>
              <w:bottom w:type="dxa" w:w="60"/>
              <w:right w:type="dxa" w:w="90"/>
            </w:tcMar>
          </w:tcPr>
          <w:p>
            <w:pPr>
              <w:spacing w:after="0" w:line="240"/>
              <w:jc w:val="right"/>
            </w:pPr>
            <w:r>
              <w:rPr>
                <w:sz w:val="19"/>
                <w:szCs w:val="19"/>
              </w:rPr>
              <w:t xml:space="preserve">1500 STB/d</w:t>
            </w:r>
          </w:p>
        </w:tc>
        <w:tc>
          <w:tcPr>
            <w:tcW w:type="dxa" w:w="2300"/>
            <w:tcMar>
              <w:top w:type="dxa" w:w="60"/>
              <w:left w:type="dxa" w:w="90"/>
              <w:bottom w:type="dxa" w:w="60"/>
              <w:right w:type="dxa" w:w="90"/>
            </w:tcMar>
          </w:tcPr>
          <w:p>
            <w:pPr>
              <w:spacing w:after="0" w:line="240"/>
              <w:jc w:val="right"/>
            </w:pPr>
            <w:r>
              <w:rPr>
                <w:sz w:val="19"/>
                <w:szCs w:val="19"/>
              </w:rPr>
              <w:t xml:space="preserve">1618 STB/d</w:t>
            </w:r>
          </w:p>
        </w:tc>
      </w:tr>
      <w:tr>
        <w:tc>
          <w:tcPr>
            <w:tcW w:type="dxa" w:w="4426"/>
            <w:tcMar>
              <w:top w:type="dxa" w:w="60"/>
              <w:left w:type="dxa" w:w="90"/>
              <w:bottom w:type="dxa" w:w="60"/>
              <w:right w:type="dxa" w:w="90"/>
            </w:tcMar>
          </w:tcPr>
          <w:p>
            <w:pPr>
              <w:spacing w:after="0" w:line="240"/>
              <w:jc w:val="left"/>
            </w:pPr>
            <w:r>
              <w:rPr>
                <w:sz w:val="19"/>
                <w:szCs w:val="19"/>
              </w:rPr>
              <w:t xml:space="preserve">TDH que pide el pozo</w:t>
            </w:r>
          </w:p>
        </w:tc>
        <w:tc>
          <w:tcPr>
            <w:tcW w:type="dxa" w:w="2300"/>
            <w:tcMar>
              <w:top w:type="dxa" w:w="60"/>
              <w:left w:type="dxa" w:w="90"/>
              <w:bottom w:type="dxa" w:w="60"/>
              <w:right w:type="dxa" w:w="90"/>
            </w:tcMar>
          </w:tcPr>
          <w:p>
            <w:pPr>
              <w:spacing w:after="0" w:line="240"/>
              <w:jc w:val="right"/>
            </w:pPr>
            <w:r>
              <w:rPr>
                <w:sz w:val="19"/>
                <w:szCs w:val="19"/>
              </w:rPr>
              <w:t xml:space="preserve">3305 ft</w:t>
            </w:r>
          </w:p>
        </w:tc>
        <w:tc>
          <w:tcPr>
            <w:tcW w:type="dxa" w:w="2300"/>
            <w:tcMar>
              <w:top w:type="dxa" w:w="60"/>
              <w:left w:type="dxa" w:w="90"/>
              <w:bottom w:type="dxa" w:w="60"/>
              <w:right w:type="dxa" w:w="90"/>
            </w:tcMar>
          </w:tcPr>
          <w:p>
            <w:pPr>
              <w:spacing w:after="0" w:line="240"/>
              <w:jc w:val="right"/>
            </w:pPr>
            <w:r>
              <w:rPr>
                <w:sz w:val="19"/>
                <w:szCs w:val="19"/>
              </w:rPr>
              <w:t xml:space="preserve">3514 ft</w:t>
            </w:r>
          </w:p>
        </w:tc>
      </w:tr>
      <w:tr>
        <w:tc>
          <w:tcPr>
            <w:tcW w:type="dxa" w:w="4426"/>
            <w:tcMar>
              <w:top w:type="dxa" w:w="60"/>
              <w:left w:type="dxa" w:w="90"/>
              <w:bottom w:type="dxa" w:w="60"/>
              <w:right w:type="dxa" w:w="90"/>
            </w:tcMar>
          </w:tcPr>
          <w:p>
            <w:pPr>
              <w:spacing w:after="0" w:line="240"/>
              <w:jc w:val="left"/>
            </w:pPr>
            <w:r>
              <w:rPr>
                <w:sz w:val="19"/>
                <w:szCs w:val="19"/>
              </w:rPr>
              <w:t xml:space="preserve">Altura contra la que se busca la bomba</w:t>
            </w:r>
          </w:p>
        </w:tc>
        <w:tc>
          <w:tcPr>
            <w:tcW w:type="dxa" w:w="2300"/>
            <w:tcMar>
              <w:top w:type="dxa" w:w="60"/>
              <w:left w:type="dxa" w:w="90"/>
              <w:bottom w:type="dxa" w:w="60"/>
              <w:right w:type="dxa" w:w="90"/>
            </w:tcMar>
          </w:tcPr>
          <w:p>
            <w:pPr>
              <w:spacing w:after="0" w:line="240"/>
              <w:jc w:val="right"/>
            </w:pPr>
            <w:r>
              <w:rPr>
                <w:sz w:val="19"/>
                <w:szCs w:val="19"/>
              </w:rPr>
              <w:t xml:space="preserve">3305 ft</w:t>
            </w:r>
          </w:p>
        </w:tc>
        <w:tc>
          <w:tcPr>
            <w:tcW w:type="dxa" w:w="2300"/>
            <w:tcMar>
              <w:top w:type="dxa" w:w="60"/>
              <w:left w:type="dxa" w:w="90"/>
              <w:bottom w:type="dxa" w:w="60"/>
              <w:right w:type="dxa" w:w="90"/>
            </w:tcMar>
          </w:tcPr>
          <w:p>
            <w:pPr>
              <w:spacing w:after="0" w:line="240"/>
              <w:jc w:val="right"/>
            </w:pPr>
            <w:r>
              <w:rPr>
                <w:sz w:val="19"/>
                <w:szCs w:val="19"/>
              </w:rPr>
              <w:t xml:space="preserve">3783 ft</w:t>
            </w:r>
          </w:p>
        </w:tc>
      </w:tr>
      <w:tr>
        <w:tc>
          <w:tcPr>
            <w:tcW w:type="dxa" w:w="4426"/>
            <w:tcMar>
              <w:top w:type="dxa" w:w="60"/>
              <w:left w:type="dxa" w:w="90"/>
              <w:bottom w:type="dxa" w:w="60"/>
              <w:right w:type="dxa" w:w="90"/>
            </w:tcMar>
          </w:tcPr>
          <w:p>
            <w:pPr>
              <w:spacing w:after="0" w:line="240"/>
              <w:jc w:val="left"/>
            </w:pPr>
            <w:r>
              <w:rPr>
                <w:sz w:val="19"/>
                <w:szCs w:val="19"/>
              </w:rPr>
              <w:t xml:space="preserve">Etapas</w:t>
            </w:r>
          </w:p>
        </w:tc>
        <w:tc>
          <w:tcPr>
            <w:tcW w:type="dxa" w:w="2300"/>
            <w:tcMar>
              <w:top w:type="dxa" w:w="60"/>
              <w:left w:type="dxa" w:w="90"/>
              <w:bottom w:type="dxa" w:w="60"/>
              <w:right w:type="dxa" w:w="90"/>
            </w:tcMar>
          </w:tcPr>
          <w:p>
            <w:pPr>
              <w:spacing w:after="0" w:line="240"/>
              <w:jc w:val="right"/>
            </w:pPr>
            <w:r>
              <w:rPr>
                <w:sz w:val="19"/>
                <w:szCs w:val="19"/>
              </w:rPr>
              <w:t xml:space="preserve">156</w:t>
            </w:r>
          </w:p>
        </w:tc>
        <w:tc>
          <w:tcPr>
            <w:tcW w:type="dxa" w:w="2300"/>
            <w:tcMar>
              <w:top w:type="dxa" w:w="60"/>
              <w:left w:type="dxa" w:w="90"/>
              <w:bottom w:type="dxa" w:w="60"/>
              <w:right w:type="dxa" w:w="90"/>
            </w:tcMar>
          </w:tcPr>
          <w:p>
            <w:pPr>
              <w:spacing w:after="0" w:line="240"/>
              <w:jc w:val="right"/>
            </w:pPr>
            <w:r>
              <w:rPr>
                <w:sz w:val="19"/>
                <w:szCs w:val="19"/>
              </w:rPr>
              <w:t xml:space="preserve">187</w:t>
            </w:r>
          </w:p>
        </w:tc>
      </w:tr>
      <w:tr>
        <w:tc>
          <w:tcPr>
            <w:tcW w:type="dxa" w:w="4426"/>
            <w:tcMar>
              <w:top w:type="dxa" w:w="60"/>
              <w:left w:type="dxa" w:w="90"/>
              <w:bottom w:type="dxa" w:w="60"/>
              <w:right w:type="dxa" w:w="90"/>
            </w:tcMar>
          </w:tcPr>
          <w:p>
            <w:pPr>
              <w:spacing w:after="0" w:line="240"/>
              <w:jc w:val="left"/>
            </w:pPr>
            <w:r>
              <w:rPr>
                <w:sz w:val="19"/>
                <w:szCs w:val="19"/>
              </w:rPr>
              <w:t xml:space="preserve">Potencia al eje</w:t>
            </w:r>
          </w:p>
        </w:tc>
        <w:tc>
          <w:tcPr>
            <w:tcW w:type="dxa" w:w="2300"/>
            <w:tcMar>
              <w:top w:type="dxa" w:w="60"/>
              <w:left w:type="dxa" w:w="90"/>
              <w:bottom w:type="dxa" w:w="60"/>
              <w:right w:type="dxa" w:w="90"/>
            </w:tcMar>
          </w:tcPr>
          <w:p>
            <w:pPr>
              <w:spacing w:after="0" w:line="240"/>
              <w:jc w:val="right"/>
            </w:pPr>
            <w:r>
              <w:rPr>
                <w:sz w:val="19"/>
                <w:szCs w:val="19"/>
              </w:rPr>
              <w:t xml:space="preserve">47,5 hp</w:t>
            </w:r>
          </w:p>
        </w:tc>
        <w:tc>
          <w:tcPr>
            <w:tcW w:type="dxa" w:w="2300"/>
            <w:tcMar>
              <w:top w:type="dxa" w:w="60"/>
              <w:left w:type="dxa" w:w="90"/>
              <w:bottom w:type="dxa" w:w="60"/>
              <w:right w:type="dxa" w:w="90"/>
            </w:tcMar>
          </w:tcPr>
          <w:p>
            <w:pPr>
              <w:spacing w:after="0" w:line="240"/>
              <w:jc w:val="right"/>
            </w:pPr>
            <w:r>
              <w:rPr>
                <w:sz w:val="19"/>
                <w:szCs w:val="19"/>
              </w:rPr>
              <w:t xml:space="preserve">70,0 hp</w:t>
            </w:r>
          </w:p>
        </w:tc>
      </w:tr>
      <w:tr>
        <w:tc>
          <w:tcPr>
            <w:tcW w:type="dxa" w:w="4426"/>
            <w:tcMar>
              <w:top w:type="dxa" w:w="60"/>
              <w:left w:type="dxa" w:w="90"/>
              <w:bottom w:type="dxa" w:w="60"/>
              <w:right w:type="dxa" w:w="90"/>
            </w:tcMar>
          </w:tcPr>
          <w:p>
            <w:pPr>
              <w:spacing w:after="0" w:line="240"/>
              <w:jc w:val="left"/>
            </w:pPr>
            <w:r>
              <w:rPr>
                <w:sz w:val="19"/>
                <w:szCs w:val="19"/>
              </w:rPr>
              <w:t xml:space="preserve">Rendimiento de la bomba</w:t>
            </w:r>
          </w:p>
        </w:tc>
        <w:tc>
          <w:tcPr>
            <w:tcW w:type="dxa" w:w="2300"/>
            <w:tcMar>
              <w:top w:type="dxa" w:w="60"/>
              <w:left w:type="dxa" w:w="90"/>
              <w:bottom w:type="dxa" w:w="60"/>
              <w:right w:type="dxa" w:w="90"/>
            </w:tcMar>
          </w:tcPr>
          <w:p>
            <w:pPr>
              <w:spacing w:after="0" w:line="240"/>
              <w:jc w:val="right"/>
            </w:pPr>
            <w:r>
              <w:rPr>
                <w:sz w:val="19"/>
                <w:szCs w:val="19"/>
              </w:rPr>
              <w:t xml:space="preserve">73,6 %</w:t>
            </w:r>
          </w:p>
        </w:tc>
        <w:tc>
          <w:tcPr>
            <w:tcW w:type="dxa" w:w="2300"/>
            <w:tcMar>
              <w:top w:type="dxa" w:w="60"/>
              <w:left w:type="dxa" w:w="90"/>
              <w:bottom w:type="dxa" w:w="60"/>
              <w:right w:type="dxa" w:w="90"/>
            </w:tcMar>
          </w:tcPr>
          <w:p>
            <w:pPr>
              <w:spacing w:after="0" w:line="240"/>
              <w:jc w:val="right"/>
            </w:pPr>
            <w:r>
              <w:rPr>
                <w:sz w:val="19"/>
                <w:szCs w:val="19"/>
              </w:rPr>
              <w:t xml:space="preserve">52,7 %</w:t>
            </w:r>
          </w:p>
        </w:tc>
      </w:tr>
    </w:tbl>
    <w:p>
      <w:pPr>
        <w:spacing w:after="100" w:line="276"/>
      </w:pPr>
      <w:r>
        <w:t xml:space="preserve"/>
      </w:r>
    </w:p>
    <w:p>
      <w:pPr>
        <w:spacing w:after="120" w:line="276"/>
      </w:pPr>
      <w:r>
        <w:rPr>
          <w:i/>
          <w:iCs/>
        </w:rPr>
        <w:t xml:space="preserve">Viscosidad evaluada en la admisión: 365 SSU a 136 °F, de donde C_Q = 92,7 %, C_H = 92,9 % y C_HP = 114,3 %.</w:t>
      </w:r>
    </w:p>
    <w:p>
      <w:pPr>
        <w:pStyle w:val="Heading1"/>
        <w:spacing w:after="160" w:before="340"/>
      </w:pPr>
      <w:r>
        <w:rPr>
          <w:b/>
          <w:bCs/>
          <w:color w:val="1F4E79"/>
          <w:sz w:val="30"/>
          <w:szCs w:val="30"/>
        </w:rPr>
        <w:t xml:space="preserve">3. Decisiones que tomé por mi cuenta</w:t>
      </w:r>
    </w:p>
    <w:p>
      <w:pPr>
        <w:spacing w:after="120" w:line="276"/>
      </w:pPr>
      <w:r>
        <w:t xml:space="preserve">Siete puntos donde el procedimiento no cierra solo y tuve que elegir. Es lo que más me interesa que revise.</w:t>
      </w:r>
    </w:p>
    <w:p>
      <w:pPr>
        <w:pStyle w:val="Heading2"/>
        <w:spacing w:after="120" w:before="240"/>
      </w:pPr>
      <w:r>
        <w:rPr>
          <w:b/>
          <w:bCs/>
          <w:color w:val="1F4E79"/>
          <w:sz w:val="24"/>
          <w:szCs w:val="24"/>
        </w:rPr>
        <w:t xml:space="preserve">D1 — El corte entre crudo liviano y pesado: 28 °API</w:t>
      </w:r>
    </w:p>
    <w:p>
      <w:pPr>
        <w:spacing w:after="120" w:line="276"/>
      </w:pPr>
      <w:r>
        <w:t xml:space="preserve">De 28 °API para arriba no corrijo nada; por debajo corro el procedimiento completo. Los 28,0 exactos cuentan como liviano.</w:t>
      </w:r>
    </w:p>
    <w:p>
      <w:pPr>
        <w:spacing w:after="120" w:line="276"/>
      </w:pPr>
      <w:r>
        <w:t xml:space="preserve">Justificación: corriendo la cadena entera justo en el umbral, un crudo de 28 °API a 120 °F da 12 cp, o sea 72 SSU, de donde C_Q = 99,6 % y C_H = 100,0 %. La corrección vale menos del 0,5 %, que es menos que el error de leer una viscosidad de un gráfico logarítmico. Por debajo empieza a morder: a 16 °API el caudal se va a 92,7 %.</w:t>
      </w:r>
    </w:p>
    <w:p>
      <w:pPr>
        <w:spacing w:after="120" w:line="276"/>
      </w:pPr>
      <w:r>
        <w:t xml:space="preserve">Un detalle que me llamó la atención: pasando de 28 a 27 °API el caudal y la altura todavía dan 100 %, pero el rendimiento ya cae de 70,0 % a 69,4 %. La viscosidad pega primero en la eficiencia.</w:t>
      </w:r>
    </w:p>
    <w:p>
      <w:pPr>
        <w:pStyle w:val="Heading2"/>
        <w:spacing w:after="120" w:before="240"/>
      </w:pPr>
      <w:r>
        <w:rPr>
          <w:b/>
          <w:bCs/>
          <w:color w:val="1F4E79"/>
          <w:sz w:val="24"/>
          <w:szCs w:val="24"/>
        </w:rPr>
        <w:t xml:space="preserve">D2 — Temperatura a la que se evalúa la viscosidad</w:t>
      </w:r>
    </w:p>
    <w:p>
      <w:pPr>
        <w:spacing w:after="120" w:line="276"/>
      </w:pPr>
      <w:r>
        <w:t xml:space="preserve">El paso 2 del procedimiento dice «a temperatura de reservorio», pero el encabezado de las Tablas 4.520 / 4.521 dice «at pumping temperatures». No son lo mismo, y la viscosidad es exponencial con la temperatura.</w:t>
      </w:r>
    </w:p>
    <w:p>
      <w:pPr>
        <w:spacing w:after="120" w:line="276"/>
      </w:pPr>
      <w:r>
        <w:t xml:space="preserve">Decidí evaluarla en la admisión de la bomba, tomando el perfil geotérmico lineal entre boca de pozo y fondo. Es más conservador que reservorio —el fluido ya se enfrió algo, así que da más viscoso— y es donde el fluido efectivamente entra a la bomba. En el ejemplo de arriba son 136 °F en la admisión contra 140 °F de fondo.</w:t>
      </w:r>
    </w:p>
    <w:p>
      <w:pPr>
        <w:pStyle w:val="Heading2"/>
        <w:spacing w:after="120" w:before="240"/>
      </w:pPr>
      <w:r>
        <w:rPr>
          <w:b/>
          <w:bCs/>
          <w:color w:val="1F4E79"/>
          <w:sz w:val="24"/>
          <w:szCs w:val="24"/>
        </w:rPr>
        <w:t xml:space="preserve">D3 — Interpolación entre las dos tablas</w:t>
      </w:r>
    </w:p>
    <w:p>
      <w:pPr>
        <w:spacing w:after="120" w:line="276"/>
      </w:pPr>
      <w:r>
        <w:t xml:space="preserve">Las tablas son para 60 % y 70 % de rendimiento máximo exactos. Una bomba de 64 % cae en el medio. Interpolo linealmente entre tablas según el rendimiento máximo de catálogo de la bomba.</w:t>
      </w:r>
    </w:p>
    <w:p>
      <w:pPr>
        <w:spacing w:after="120" w:line="276"/>
      </w:pPr>
      <w:r>
        <w:t xml:space="preserve">Fuera del rango de 60 a 70 % acoto al extremo más cercano, sin extrapolar: la propia tabla se titula «approximate changes», así que extrapolar sería pedirle más precisión que a la fuente. La bomba del ejemplo tiene 73,6 % y se resuelve con la tabla de 70 % más un aviso.</w:t>
      </w:r>
    </w:p>
    <w:p>
      <w:pPr>
        <w:pStyle w:val="Heading2"/>
        <w:spacing w:after="120" w:before="240"/>
      </w:pPr>
      <w:r>
        <w:rPr>
          <w:b/>
          <w:bCs/>
          <w:color w:val="1F4E79"/>
          <w:sz w:val="24"/>
          <w:szCs w:val="24"/>
        </w:rPr>
        <w:t xml:space="preserve">D4 — Qué rendimiento entra a la tabla</w:t>
      </w:r>
    </w:p>
    <w:p>
      <w:pPr>
        <w:spacing w:after="120" w:line="276"/>
      </w:pPr>
      <w:r>
        <w:t xml:space="preserve">El rendimiento máximo de catálogo de la bomba, no el del punto de operación. Las tablas se titulan «performance correction chart for pumps of 60 % (70 %) maximum efficiency», así que entendí que es el máximo. Es un dato fijo del equipo, no del punto donde termine trabajando.</w:t>
      </w:r>
    </w:p>
    <w:p>
      <w:pPr>
        <w:pStyle w:val="Heading2"/>
        <w:spacing w:after="120" w:before="240"/>
      </w:pPr>
      <w:r>
        <w:rPr>
          <w:b/>
          <w:bCs/>
          <w:color w:val="1F4E79"/>
          <w:sz w:val="24"/>
          <w:szCs w:val="24"/>
        </w:rPr>
        <w:t xml:space="preserve">D5 — El lazo de realimentación no se itera</w:t>
      </w:r>
    </w:p>
    <w:p>
      <w:pPr>
        <w:spacing w:after="120" w:line="276"/>
      </w:pPr>
      <w:r>
        <w:t xml:space="preserve">Ésta la había dejado abierta, y la respuesta, una vez programada, es que no hace falta iterar. El temor era circular: corregir la altura cambia las etapas, que cambian la potencia, que cambia el motor. Eso sería un lazo real si el factor de corrección dependiera del punto de operación.</w:t>
      </w:r>
    </w:p>
    <w:p>
      <w:pPr>
        <w:spacing w:after="120" w:line="276"/>
      </w:pPr>
      <w:r>
        <w:t xml:space="preserve">No depende, por lo que digo en D4. Los factores salen de la viscosidad y del rendimiento máximo de catálogo, los dos conocidos de entrada, así que quedan fijos y nada de lo que se calcula después los realimenta. La corrección se resuelve en una pasada, exacta, sin criterio de convergencia.</w:t>
      </w:r>
    </w:p>
    <w:p>
      <w:pPr>
        <w:spacing w:after="120" w:line="276"/>
      </w:pPr>
      <w:r>
        <w:t xml:space="preserve">Sí queda un lazo aguas abajo, en la selección del motor: más potencia puede pedir un motor de mayor diámetro y, si no entra en el casing, hay que volver a elegir bomba. Pero ese lazo ya existía antes de la viscosidad; la corrección sólo cambia los números que entran.</w:t>
      </w:r>
    </w:p>
    <w:p>
      <w:pPr>
        <w:pStyle w:val="Heading2"/>
        <w:spacing w:after="120" w:before="240"/>
      </w:pPr>
      <w:r>
        <w:rPr>
          <w:b/>
          <w:bCs/>
          <w:color w:val="1F4E79"/>
          <w:sz w:val="24"/>
          <w:szCs w:val="24"/>
        </w:rPr>
        <w:t xml:space="preserve">D6 — Cuándo se usa la viscosidad medida</w:t>
      </w:r>
    </w:p>
    <w:p>
      <w:pPr>
        <w:spacing w:after="120" w:line="276"/>
      </w:pPr>
      <w:r>
        <w:t xml:space="preserve">El procedimiento dice «de ensayos o de la Fig. 4L», así que el dato medido tiene prioridad sobre la correlación. Pero el dato viene referido a una temperatura, que no tiene por qué ser la de admisión.</w:t>
      </w:r>
    </w:p>
    <w:p>
      <w:pPr>
        <w:spacing w:after="120" w:line="276"/>
      </w:pPr>
      <w:r>
        <w:t xml:space="preserve">Decidí usarlo sólo si está dentro de ±5 °F de la temperatura de admisión. Fuera de esa tolerancia lo descarto, estimo con Beggs-Robinson y aviso, en vez de extrapolarlo. Extrapolar un dato medido en una variable exponencial me pareció peor que no usarlo.</w:t>
      </w:r>
    </w:p>
    <w:p>
      <w:pPr>
        <w:pStyle w:val="Heading2"/>
        <w:spacing w:after="120" w:before="240"/>
      </w:pPr>
      <w:r>
        <w:rPr>
          <w:b/>
          <w:bCs/>
          <w:color w:val="1F4E79"/>
          <w:sz w:val="24"/>
          <w:szCs w:val="24"/>
        </w:rPr>
        <w:t xml:space="preserve">D7 — El corte de agua queda sin realizar</w:t>
      </w:r>
    </w:p>
    <w:p>
      <w:pPr>
        <w:spacing w:after="120" w:line="276"/>
      </w:pPr>
      <w:r>
        <w:t xml:space="preserve">El paso 5 dice «corregir la viscosidad de la mezcla por corte de agua, si hay datos» y no da ninguna correlación. Entiendo que no es un olvido: la viscosidad de una emulsión no se interpola entre las fases. Con agua dispersa en petróleo puede ser varias veces la del petróleo solo, y pasado el punto de inversión —típicamente entre 50 y 70 % de corte— se desploma.</w:t>
      </w:r>
    </w:p>
    <w:p>
      <w:pPr>
        <w:spacing w:after="120" w:line="276"/>
      </w:pPr>
      <w:r>
        <w:t xml:space="preserve">Mientras no defina un método, el paso se reporta explícitamente como NO REALIZADO y se avisa, en vez de aplicar una interpolación que sería falsa. En el ejercicio de cátedra el dato medido llevaba 325 SSU a 650 SSU con sólo 30 % de agua: el efecto es grande y no lo quiero inventar.</w:t>
      </w:r>
    </w:p>
    <w:p>
      <w:pPr>
        <w:pStyle w:val="Heading1"/>
        <w:spacing w:after="160" w:before="340"/>
      </w:pPr>
      <w:r>
        <w:rPr>
          <w:b/>
          <w:bCs/>
          <w:color w:val="1F4E79"/>
          <w:sz w:val="30"/>
          <w:szCs w:val="30"/>
        </w:rPr>
        <w:t xml:space="preserve">4. Lo que sé que está flojo</w:t>
      </w:r>
    </w:p>
    <w:p>
      <w:pPr>
        <w:spacing w:after="120" w:line="276"/>
      </w:pPr>
      <w:r>
        <w:t xml:space="preserve">Para que no se lo tenga que encontrar leyéndolo:</w:t>
      </w:r>
    </w:p>
    <w:p>
      <w:pPr>
        <w:pStyle w:val="ListParagraph"/>
        <w:numPr>
          <w:ilvl w:val="0"/>
          <w:numId w:val="2"/>
        </w:numPr>
        <w:spacing w:after="90" w:line="276"/>
      </w:pPr>
      <w:r>
        <w:t xml:space="preserve">Beggs-Robinson subestima el crudo pesado. Para el ejercicio de cátedra la correlación da unos 59 cp donde la Fig. 4L (2) da 150 cp. Por eso el dato medido tiene prioridad, y por eso el simulador avisa fuerte cuando tiene que estimar.</w:t>
      </w:r>
    </w:p>
    <w:p>
      <w:pPr>
        <w:pStyle w:val="ListParagraph"/>
        <w:numPr>
          <w:ilvl w:val="0"/>
          <w:numId w:val="2"/>
        </w:numPr>
        <w:spacing w:after="90" w:line="276"/>
      </w:pPr>
      <w:r>
        <w:t xml:space="preserve">La Fig. 4L (2) no está digitalizada. Intenté extraerla de una captura y no da: las líneas de grilla logarítmica se comen las curvas de crudo pesado y la anotación «reservoir temperature» pisa justo la zona de 10 a 25 °API. Necesito la página del libro en mejor resolución.</w:t>
      </w:r>
    </w:p>
    <w:p>
      <w:pPr>
        <w:pStyle w:val="ListParagraph"/>
        <w:numPr>
          <w:ilvl w:val="0"/>
          <w:numId w:val="2"/>
        </w:numPr>
        <w:spacing w:after="90" w:line="276"/>
      </w:pPr>
      <w:r>
        <w:t xml:space="preserve">Cuatro filas de las Tablas 4.520 / 4.521 no cierran fino con la relación interna de potencia. Las transcribí de un escaneo y quedan por releer de una copia mejor. Ninguna está groseramente mal, pero prefiero decirlo.</w:t>
      </w:r>
    </w:p>
    <w:p>
      <w:pPr>
        <w:pStyle w:val="ListParagraph"/>
        <w:numPr>
          <w:ilvl w:val="0"/>
          <w:numId w:val="2"/>
        </w:numPr>
        <w:spacing w:after="90" w:line="276"/>
      </w:pPr>
      <w:r>
        <w:t xml:space="preserve">El corte de agua, ya dicho en D7.</w:t>
      </w:r>
    </w:p>
    <w:p>
      <w:pPr>
        <w:pStyle w:val="Heading1"/>
        <w:spacing w:after="160" w:before="340"/>
      </w:pPr>
      <w:r>
        <w:rPr>
          <w:b/>
          <w:bCs/>
          <w:color w:val="1F4E79"/>
          <w:sz w:val="30"/>
          <w:szCs w:val="30"/>
        </w:rPr>
        <w:t xml:space="preserve">5. Discrepancias que encontré en la bibliografía</w:t>
      </w:r>
    </w:p>
    <w:p>
      <w:pPr>
        <w:spacing w:after="120" w:line="276"/>
      </w:pPr>
      <w:r>
        <w:t xml:space="preserve">Seis cosas que no cierran en el impreso. Las resolví como digo abajo, pero quisiera confirmarlas, sobre todo porque van a la tesis.</w:t>
      </w:r>
    </w:p>
    <w:p>
      <w:pPr>
        <w:pStyle w:val="Heading2"/>
        <w:spacing w:after="120" w:before="240"/>
      </w:pPr>
      <w:r>
        <w:rPr>
          <w:b/>
          <w:bCs/>
          <w:color w:val="1F4E79"/>
          <w:sz w:val="24"/>
          <w:szCs w:val="24"/>
        </w:rPr>
        <w:t xml:space="preserve">5.1 Takács pág. 157: el ejemplo resuelto contradice a su propia ecuación</w:t>
      </w:r>
    </w:p>
    <w:p>
      <w:pPr>
        <w:spacing w:after="120" w:line="276"/>
      </w:pPr>
      <w:r>
        <w:t xml:space="preserve">La ecuación 4.10 imprime el término cuadrático de C_H,1.0 en negativo, y da 0,829. El ejemplo resuelto dos páginas después lo calcula en positivo, y da 0,844.</w:t>
      </w:r>
    </w:p>
    <w:p>
      <w:pPr>
        <w:spacing w:after="80" w:line="276"/>
      </w:pPr>
      <w:r>
        <w:t xml:space="preserve">Me quedé con la ecuación, por tres razones independientes:</w:t>
      </w:r>
    </w:p>
    <w:p>
      <w:pPr>
        <w:pStyle w:val="ListParagraph"/>
        <w:numPr>
          <w:ilvl w:val="0"/>
          <w:numId w:val="2"/>
        </w:numPr>
        <w:spacing w:after="90" w:line="276"/>
      </w:pPr>
      <w:r>
        <w:t xml:space="preserve">El ejemplo del paper original de Turzo en Oil &amp; Gas Journal publica 0,9810 para ese factor. Con el signo negativo sale 0,98099; con el positivo saldría 0,98120.</w:t>
      </w:r>
    </w:p>
    <w:p>
      <w:pPr>
        <w:pStyle w:val="ListParagraph"/>
        <w:numPr>
          <w:ilvl w:val="0"/>
          <w:numId w:val="2"/>
        </w:numPr>
        <w:spacing w:after="90" w:line="276"/>
      </w:pPr>
      <w:r>
        <w:t xml:space="preserve">Con el signo positivo, los coeficientes cuadráticos de los cuatro factores dejan de ser monótonos: −4,36e−5 · −4,18e−5 · +1,41e−5 · +1,31e−5.</w:t>
      </w:r>
    </w:p>
    <w:p>
      <w:pPr>
        <w:pStyle w:val="ListParagraph"/>
        <w:numPr>
          <w:ilvl w:val="0"/>
          <w:numId w:val="2"/>
        </w:numPr>
        <w:spacing w:after="90" w:line="276"/>
      </w:pPr>
      <w:r>
        <w:t xml:space="preserve">Con el signo positivo las curvas de 0,8 y 1,0 del BEP se cruzan a partir de Q* ≈ 45, o sea que el modelo diría que la corrección es más benigna en el BEP que al 80 % del BEP. No tiene sentido físico.</w:t>
      </w:r>
    </w:p>
    <w:p>
      <w:pPr>
        <w:spacing w:after="140" w:line="276"/>
      </w:pPr>
      <w:r>
        <w:t xml:space="preserve">El factor de rendimiento C_η (ec. 4.7) sí lleva el cuadrático en positivo, y ahí el impreso está bien. Confirmado con los dos ejemplos.</w:t>
      </w:r>
    </w:p>
    <w:p>
      <w:pPr>
        <w:pStyle w:val="Heading2"/>
        <w:spacing w:after="120" w:before="240"/>
      </w:pPr>
      <w:r>
        <w:rPr>
          <w:b/>
          <w:bCs/>
          <w:color w:val="1F4E79"/>
          <w:sz w:val="24"/>
          <w:szCs w:val="24"/>
        </w:rPr>
        <w:t xml:space="preserve">5.2 Takács ec. 4.12: la unidad del rendimiento</w:t>
      </w:r>
    </w:p>
    <w:p>
      <w:pPr>
        <w:spacing w:after="120" w:line="276"/>
      </w:pPr>
      <w:r>
        <w:t xml:space="preserve">La ecuación de potencia al freno anota «η = pump efficiency, %», pero sólo cierra con el rendimiento en fracción. Con η en porcentaje el resultado da cien veces chico.</w:t>
      </w:r>
    </w:p>
    <w:p>
      <w:pPr>
        <w:spacing w:after="120" w:line="276"/>
      </w:pPr>
      <w:r>
        <w:t xml:space="preserve">Verificado contra sus propios números: el BEP con agua del Ejemplo 4.1 (900 bpd, 21,8 ft, γ = 1,0, η = 64 %) tiene que dar los 0,225 HP que el Ejemplo 4.2 lee de la curva, y eso sale con η = 0,64. La constante lo confirma: 42/(1440 × 3960) = 7,366e−6 es la conversión de bpd·ft·SG a HP hidráulicos, y esa cuenta lleva el rendimiento en fracción.</w:t>
      </w:r>
    </w:p>
    <w:p>
      <w:pPr>
        <w:pStyle w:val="Heading2"/>
        <w:spacing w:after="120" w:before="240"/>
      </w:pPr>
      <w:r>
        <w:rPr>
          <w:b/>
          <w:bCs/>
          <w:color w:val="1F4E79"/>
          <w:sz w:val="24"/>
          <w:szCs w:val="24"/>
        </w:rPr>
        <w:t xml:space="preserve">5.3 Takács Tabla 4.1: una fila fuera de tendencia</w:t>
      </w:r>
    </w:p>
    <w:p>
      <w:pPr>
        <w:spacing w:after="120" w:line="276"/>
      </w:pPr>
      <w:r>
        <w:t xml:space="preserve">La tabla de factores de Centrilift publica, a 4000 SSU, un factor de eficiencia de 0,278, que rompe la tendencia monótona: 0,218 a 3000 SSU y 0,149 a 5000 SSU. El valor coherente sería del orden de 0,178.</w:t>
      </w:r>
    </w:p>
    <w:p>
      <w:pPr>
        <w:spacing w:after="120" w:line="276"/>
      </w:pPr>
      <w:r>
        <w:t xml:space="preserve">Lo transcribí tal como está impreso y el simulador avisa cuando la interpolación pasa por ahí. No lo corrigí en silencio. ¿Le parece bien, o directamente descarto esa fila?</w:t>
      </w:r>
    </w:p>
    <w:p>
      <w:pPr>
        <w:pStyle w:val="Heading2"/>
        <w:spacing w:after="120" w:before="240"/>
      </w:pPr>
      <w:r>
        <w:rPr>
          <w:b/>
          <w:bCs/>
          <w:color w:val="1F4E79"/>
          <w:sz w:val="24"/>
          <w:szCs w:val="24"/>
        </w:rPr>
        <w:t xml:space="preserve">5.4 Brown, Apéndice 4L: las figuras están numeradas al revés</w:t>
      </w:r>
    </w:p>
    <w:p>
      <w:pPr>
        <w:spacing w:after="120" w:line="276"/>
      </w:pPr>
      <w:r>
        <w:t xml:space="preserve">El texto del procedimiento manda al paso 2 a la «Fig. 4L.1» (crudo sin gas) y al paso 3 a la «Fig. 4L.2» (saturado con gas). Pero en el apéndice las láminas vienen rotuladas al revés: la 4L (1) es la de crudo saturado con gas y la 4L (2) es la de crudo sin gas.</w:t>
      </w:r>
    </w:p>
    <w:p>
      <w:pPr>
        <w:spacing w:after="120" w:line="276"/>
      </w:pPr>
      <w:r>
        <w:t xml:space="preserve">Me guié por el contenido de cada lámina, no por su número. ¿Es una errata conocida de esa edición?</w:t>
      </w:r>
    </w:p>
    <w:p>
      <w:pPr>
        <w:pStyle w:val="Heading2"/>
        <w:spacing w:after="120" w:before="240"/>
      </w:pPr>
      <w:r>
        <w:rPr>
          <w:b/>
          <w:bCs/>
          <w:color w:val="1F4E79"/>
          <w:sz w:val="24"/>
          <w:szCs w:val="24"/>
        </w:rPr>
        <w:t xml:space="preserve">5.5 El modelo del Hydraulic Institute se rompe dentro de su propio rango</w:t>
      </w:r>
    </w:p>
    <w:p>
      <w:pPr>
        <w:spacing w:after="120" w:line="276"/>
      </w:pPr>
      <w:r>
        <w:t xml:space="preserve">Éste es el hallazgo que más me interesa que revise. Los polinomios de Turzo se dan vuelta pasado Q* ≈ 57,3: el término cuadrático del factor de rendimiento domina y el modelo empieza a decir que más viscosidad da mejor rendimiento. Un poco más arriba, en Q* ≈ 65,4, el factor de caudal cruza el cero.</w:t>
      </w:r>
    </w:p>
    <w:p>
      <w:pPr>
        <w:spacing w:after="120" w:line="276"/>
      </w:pPr>
      <w:r>
        <w:t xml:space="preserve">Lo importante es dónde muerde ese límite. Sobre una bomba de tamaño BES —BEP de unos 5000 bpd y 25 ft por etapa— se alcanza alrededor de los 1000 cSt, que es un tercio de los 3000 cSt que el Hydraulic Institute declara como techo de validez. La misma viscosidad sobre una bomba de oleoducto entra sin problema.</w:t>
      </w:r>
    </w:p>
    <w:p>
      <w:pPr>
        <w:spacing w:after="120" w:line="276"/>
      </w:pPr>
      <w:r>
        <w:t xml:space="preserve">Mi lectura es que el techo declarado supone bombas grandes, que son con las que se levantaron los diagramas originales. Puse un tope duro que corta el cálculo en vez de devolver un número sin sentido.</w:t>
      </w:r>
    </w:p>
    <w:p>
      <w:pPr>
        <w:spacing w:after="140" w:line="276"/>
      </w:pPr>
      <w:r>
        <w:t xml:space="preserve">Va en la misma línea de lo que el propio Takács dice en la pág. 168: que varias investigaciones criticaron el modelo con mediciones sobre BES reales, con desvíos de hasta 25 % en caudal y 35 % en rendimiento, porque los factores se desarrollaron para bombas de una sola etapa a menos vueltas. Por eso lo dejé como verificación y no como camino principal.</w:t>
      </w:r>
    </w:p>
    <w:p>
      <w:pPr>
        <w:pStyle w:val="Heading2"/>
        <w:spacing w:after="120" w:before="240"/>
      </w:pPr>
      <w:r>
        <w:rPr>
          <w:b/>
          <w:bCs/>
          <w:color w:val="1F4E79"/>
          <w:sz w:val="24"/>
          <w:szCs w:val="24"/>
        </w:rPr>
        <w:t xml:space="preserve">5.6 Las tres tablas de fabricante no coinciden entre sí</w:t>
      </w:r>
    </w:p>
    <w:p>
      <w:pPr>
        <w:spacing w:after="100" w:line="276"/>
      </w:pPr>
      <w:r>
        <w:t xml:space="preserve">La Tabla 4.1 de Takács (Centrilift) usa exactamente la misma grilla de viscosidades que las 4.520 / 4.521 de Brown, así que se pueden contrastar fila por fila. El resultado no es tranquilizador: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400"/>
        <w:gridCol w:w="1400"/>
        <w:gridCol w:w="1226"/>
      </w:tblGrid>
      <w:tr>
        <w:trPr>
          <w:tblHeader/>
        </w:trPr>
        <w:tc>
          <w:tcPr>
            <w:tcW w:type="dxa" w:w="800"/>
            <w:shd w:fill="F2F2F2" w:color="auto" w:val="clear"/>
            <w:tcMar>
              <w:top w:type="dxa" w:w="60"/>
              <w:left w:type="dxa" w:w="90"/>
              <w:bottom w:type="dxa" w:w="60"/>
              <w:right w:type="dxa" w:w="90"/>
            </w:tcMar>
          </w:tcPr>
          <w:p>
            <w:pPr>
              <w:spacing w:after="0" w:line="240"/>
              <w:jc w:val="left"/>
            </w:pPr>
            <w:r>
              <w:rPr>
                <w:b/>
                <w:bCs/>
                <w:sz w:val="19"/>
                <w:szCs w:val="19"/>
              </w:rPr>
              <w:t xml:space="preserve">SSU</w:t>
            </w:r>
          </w:p>
        </w:tc>
        <w:tc>
          <w:tcPr>
            <w:tcW w:type="dxa" w:w="1400"/>
            <w:shd w:fill="F2F2F2" w:color="auto" w:val="clear"/>
            <w:tcMar>
              <w:top w:type="dxa" w:w="60"/>
              <w:left w:type="dxa" w:w="90"/>
              <w:bottom w:type="dxa" w:w="60"/>
              <w:right w:type="dxa" w:w="90"/>
            </w:tcMar>
          </w:tcPr>
          <w:p>
            <w:pPr>
              <w:spacing w:after="0" w:line="240"/>
              <w:jc w:val="right"/>
            </w:pPr>
            <w:r>
              <w:rPr>
                <w:b/>
                <w:bCs/>
                <w:sz w:val="19"/>
                <w:szCs w:val="19"/>
              </w:rPr>
              <w:t xml:space="preserve">C_Q Brown 60 %</w:t>
            </w:r>
          </w:p>
        </w:tc>
        <w:tc>
          <w:tcPr>
            <w:tcW w:type="dxa" w:w="1400"/>
            <w:shd w:fill="F2F2F2" w:color="auto" w:val="clear"/>
            <w:tcMar>
              <w:top w:type="dxa" w:w="60"/>
              <w:left w:type="dxa" w:w="90"/>
              <w:bottom w:type="dxa" w:w="60"/>
              <w:right w:type="dxa" w:w="90"/>
            </w:tcMar>
          </w:tcPr>
          <w:p>
            <w:pPr>
              <w:spacing w:after="0" w:line="240"/>
              <w:jc w:val="right"/>
            </w:pPr>
            <w:r>
              <w:rPr>
                <w:b/>
                <w:bCs/>
                <w:sz w:val="19"/>
                <w:szCs w:val="19"/>
              </w:rPr>
              <w:t xml:space="preserve">C_Q Brown 70 %</w:t>
            </w:r>
          </w:p>
        </w:tc>
        <w:tc>
          <w:tcPr>
            <w:tcW w:type="dxa" w:w="1400"/>
            <w:shd w:fill="F2F2F2" w:color="auto" w:val="clear"/>
            <w:tcMar>
              <w:top w:type="dxa" w:w="60"/>
              <w:left w:type="dxa" w:w="90"/>
              <w:bottom w:type="dxa" w:w="60"/>
              <w:right w:type="dxa" w:w="90"/>
            </w:tcMar>
          </w:tcPr>
          <w:p>
            <w:pPr>
              <w:spacing w:after="0" w:line="240"/>
              <w:jc w:val="right"/>
            </w:pPr>
            <w:r>
              <w:rPr>
                <w:b/>
                <w:bCs/>
                <w:sz w:val="19"/>
                <w:szCs w:val="19"/>
              </w:rPr>
              <w:t xml:space="preserve">C_Q Centrilift</w:t>
            </w:r>
          </w:p>
        </w:tc>
        <w:tc>
          <w:tcPr>
            <w:tcW w:type="dxa" w:w="1400"/>
            <w:shd w:fill="F2F2F2" w:color="auto" w:val="clear"/>
            <w:tcMar>
              <w:top w:type="dxa" w:w="60"/>
              <w:left w:type="dxa" w:w="90"/>
              <w:bottom w:type="dxa" w:w="60"/>
              <w:right w:type="dxa" w:w="90"/>
            </w:tcMar>
          </w:tcPr>
          <w:p>
            <w:pPr>
              <w:spacing w:after="0" w:line="240"/>
              <w:jc w:val="right"/>
            </w:pPr>
            <w:r>
              <w:rPr>
                <w:b/>
                <w:bCs/>
                <w:sz w:val="19"/>
                <w:szCs w:val="19"/>
              </w:rPr>
              <w:t xml:space="preserve">C_H Brown 60 %</w:t>
            </w:r>
          </w:p>
        </w:tc>
        <w:tc>
          <w:tcPr>
            <w:tcW w:type="dxa" w:w="1400"/>
            <w:shd w:fill="F2F2F2" w:color="auto" w:val="clear"/>
            <w:tcMar>
              <w:top w:type="dxa" w:w="60"/>
              <w:left w:type="dxa" w:w="90"/>
              <w:bottom w:type="dxa" w:w="60"/>
              <w:right w:type="dxa" w:w="90"/>
            </w:tcMar>
          </w:tcPr>
          <w:p>
            <w:pPr>
              <w:spacing w:after="0" w:line="240"/>
              <w:jc w:val="right"/>
            </w:pPr>
            <w:r>
              <w:rPr>
                <w:b/>
                <w:bCs/>
                <w:sz w:val="19"/>
                <w:szCs w:val="19"/>
              </w:rPr>
              <w:t xml:space="preserve">C_H Brown 70 %</w:t>
            </w:r>
          </w:p>
        </w:tc>
        <w:tc>
          <w:tcPr>
            <w:tcW w:type="dxa" w:w="1226"/>
            <w:shd w:fill="F2F2F2" w:color="auto" w:val="clear"/>
            <w:tcMar>
              <w:top w:type="dxa" w:w="60"/>
              <w:left w:type="dxa" w:w="90"/>
              <w:bottom w:type="dxa" w:w="60"/>
              <w:right w:type="dxa" w:w="90"/>
            </w:tcMar>
          </w:tcPr>
          <w:p>
            <w:pPr>
              <w:spacing w:after="0" w:line="240"/>
              <w:jc w:val="right"/>
            </w:pPr>
            <w:r>
              <w:rPr>
                <w:b/>
                <w:bCs/>
                <w:sz w:val="19"/>
                <w:szCs w:val="19"/>
              </w:rPr>
              <w:t xml:space="preserve">C_H Centrilift</w:t>
            </w:r>
          </w:p>
        </w:tc>
      </w:tr>
      <w:tr>
        <w:tc>
          <w:tcPr>
            <w:tcW w:type="dxa" w:w="800"/>
            <w:tcMar>
              <w:top w:type="dxa" w:w="60"/>
              <w:left w:type="dxa" w:w="90"/>
              <w:bottom w:type="dxa" w:w="60"/>
              <w:right w:type="dxa" w:w="90"/>
            </w:tcMar>
          </w:tcPr>
          <w:p>
            <w:pPr>
              <w:spacing w:after="0" w:line="240"/>
              <w:jc w:val="left"/>
            </w:pPr>
            <w:r>
              <w:rPr>
                <w:sz w:val="19"/>
                <w:szCs w:val="19"/>
              </w:rPr>
              <w:t xml:space="preserve">400</w:t>
            </w:r>
          </w:p>
        </w:tc>
        <w:tc>
          <w:tcPr>
            <w:tcW w:type="dxa" w:w="1400"/>
            <w:tcMar>
              <w:top w:type="dxa" w:w="60"/>
              <w:left w:type="dxa" w:w="90"/>
              <w:bottom w:type="dxa" w:w="60"/>
              <w:right w:type="dxa" w:w="90"/>
            </w:tcMar>
          </w:tcPr>
          <w:p>
            <w:pPr>
              <w:spacing w:after="0" w:line="240"/>
              <w:jc w:val="right"/>
            </w:pPr>
            <w:r>
              <w:rPr>
                <w:sz w:val="19"/>
                <w:szCs w:val="19"/>
              </w:rPr>
              <w:t xml:space="preserve">88,0</w:t>
            </w:r>
          </w:p>
        </w:tc>
        <w:tc>
          <w:tcPr>
            <w:tcW w:type="dxa" w:w="1400"/>
            <w:tcMar>
              <w:top w:type="dxa" w:w="60"/>
              <w:left w:type="dxa" w:w="90"/>
              <w:bottom w:type="dxa" w:w="60"/>
              <w:right w:type="dxa" w:w="90"/>
            </w:tcMar>
          </w:tcPr>
          <w:p>
            <w:pPr>
              <w:spacing w:after="0" w:line="240"/>
              <w:jc w:val="right"/>
            </w:pPr>
            <w:r>
              <w:rPr>
                <w:sz w:val="19"/>
                <w:szCs w:val="19"/>
              </w:rPr>
              <w:t xml:space="preserve">92,0</w:t>
            </w:r>
          </w:p>
        </w:tc>
        <w:tc>
          <w:tcPr>
            <w:tcW w:type="dxa" w:w="1400"/>
            <w:tcMar>
              <w:top w:type="dxa" w:w="60"/>
              <w:left w:type="dxa" w:w="90"/>
              <w:bottom w:type="dxa" w:w="60"/>
              <w:right w:type="dxa" w:w="90"/>
            </w:tcMar>
          </w:tcPr>
          <w:p>
            <w:pPr>
              <w:spacing w:after="0" w:line="240"/>
              <w:jc w:val="right"/>
            </w:pPr>
            <w:r>
              <w:rPr>
                <w:sz w:val="19"/>
                <w:szCs w:val="19"/>
              </w:rPr>
              <w:t xml:space="preserve">84,7</w:t>
            </w:r>
          </w:p>
        </w:tc>
        <w:tc>
          <w:tcPr>
            <w:tcW w:type="dxa" w:w="1400"/>
            <w:tcMar>
              <w:top w:type="dxa" w:w="60"/>
              <w:left w:type="dxa" w:w="90"/>
              <w:bottom w:type="dxa" w:w="60"/>
              <w:right w:type="dxa" w:w="90"/>
            </w:tcMar>
          </w:tcPr>
          <w:p>
            <w:pPr>
              <w:spacing w:after="0" w:line="240"/>
              <w:jc w:val="right"/>
            </w:pPr>
            <w:r>
              <w:rPr>
                <w:sz w:val="19"/>
                <w:szCs w:val="19"/>
              </w:rPr>
              <w:t xml:space="preserve">89,0</w:t>
            </w:r>
          </w:p>
        </w:tc>
        <w:tc>
          <w:tcPr>
            <w:tcW w:type="dxa" w:w="1400"/>
            <w:tcMar>
              <w:top w:type="dxa" w:w="60"/>
              <w:left w:type="dxa" w:w="90"/>
              <w:bottom w:type="dxa" w:w="60"/>
              <w:right w:type="dxa" w:w="90"/>
            </w:tcMar>
          </w:tcPr>
          <w:p>
            <w:pPr>
              <w:spacing w:after="0" w:line="240"/>
              <w:jc w:val="right"/>
            </w:pPr>
            <w:r>
              <w:rPr>
                <w:sz w:val="19"/>
                <w:szCs w:val="19"/>
              </w:rPr>
              <w:t xml:space="preserve">92,0</w:t>
            </w:r>
          </w:p>
        </w:tc>
        <w:tc>
          <w:tcPr>
            <w:tcW w:type="dxa" w:w="1226"/>
            <w:tcMar>
              <w:top w:type="dxa" w:w="60"/>
              <w:left w:type="dxa" w:w="90"/>
              <w:bottom w:type="dxa" w:w="60"/>
              <w:right w:type="dxa" w:w="90"/>
            </w:tcMar>
          </w:tcPr>
          <w:p>
            <w:pPr>
              <w:spacing w:after="0" w:line="240"/>
              <w:jc w:val="right"/>
            </w:pPr>
            <w:r>
              <w:rPr>
                <w:sz w:val="19"/>
                <w:szCs w:val="19"/>
              </w:rPr>
              <w:t xml:space="preserve">90,9</w:t>
            </w:r>
          </w:p>
        </w:tc>
      </w:tr>
      <w:tr>
        <w:tc>
          <w:tcPr>
            <w:tcW w:type="dxa" w:w="800"/>
            <w:tcMar>
              <w:top w:type="dxa" w:w="60"/>
              <w:left w:type="dxa" w:w="90"/>
              <w:bottom w:type="dxa" w:w="60"/>
              <w:right w:type="dxa" w:w="90"/>
            </w:tcMar>
          </w:tcPr>
          <w:p>
            <w:pPr>
              <w:spacing w:after="0" w:line="240"/>
              <w:jc w:val="left"/>
            </w:pPr>
            <w:r>
              <w:rPr>
                <w:sz w:val="19"/>
                <w:szCs w:val="19"/>
              </w:rPr>
              <w:t xml:space="preserve">1000</w:t>
            </w:r>
          </w:p>
        </w:tc>
        <w:tc>
          <w:tcPr>
            <w:tcW w:type="dxa" w:w="1400"/>
            <w:tcMar>
              <w:top w:type="dxa" w:w="60"/>
              <w:left w:type="dxa" w:w="90"/>
              <w:bottom w:type="dxa" w:w="60"/>
              <w:right w:type="dxa" w:w="90"/>
            </w:tcMar>
          </w:tcPr>
          <w:p>
            <w:pPr>
              <w:spacing w:after="0" w:line="240"/>
              <w:jc w:val="right"/>
            </w:pPr>
            <w:r>
              <w:rPr>
                <w:sz w:val="19"/>
                <w:szCs w:val="19"/>
              </w:rPr>
              <w:t xml:space="preserve">75,0</w:t>
            </w:r>
          </w:p>
        </w:tc>
        <w:tc>
          <w:tcPr>
            <w:tcW w:type="dxa" w:w="1400"/>
            <w:tcMar>
              <w:top w:type="dxa" w:w="60"/>
              <w:left w:type="dxa" w:w="90"/>
              <w:bottom w:type="dxa" w:w="60"/>
              <w:right w:type="dxa" w:w="90"/>
            </w:tcMar>
          </w:tcPr>
          <w:p>
            <w:pPr>
              <w:spacing w:after="0" w:line="240"/>
              <w:jc w:val="right"/>
            </w:pPr>
            <w:r>
              <w:rPr>
                <w:sz w:val="19"/>
                <w:szCs w:val="19"/>
              </w:rPr>
              <w:t xml:space="preserve">83,0</w:t>
            </w:r>
          </w:p>
        </w:tc>
        <w:tc>
          <w:tcPr>
            <w:tcW w:type="dxa" w:w="1400"/>
            <w:tcMar>
              <w:top w:type="dxa" w:w="60"/>
              <w:left w:type="dxa" w:w="90"/>
              <w:bottom w:type="dxa" w:w="60"/>
              <w:right w:type="dxa" w:w="90"/>
            </w:tcMar>
          </w:tcPr>
          <w:p>
            <w:pPr>
              <w:spacing w:after="0" w:line="240"/>
              <w:jc w:val="right"/>
            </w:pPr>
            <w:r>
              <w:rPr>
                <w:sz w:val="19"/>
                <w:szCs w:val="19"/>
              </w:rPr>
              <w:t xml:space="preserve">70,8</w:t>
            </w:r>
          </w:p>
        </w:tc>
        <w:tc>
          <w:tcPr>
            <w:tcW w:type="dxa" w:w="1400"/>
            <w:tcMar>
              <w:top w:type="dxa" w:w="60"/>
              <w:left w:type="dxa" w:w="90"/>
              <w:bottom w:type="dxa" w:w="60"/>
              <w:right w:type="dxa" w:w="90"/>
            </w:tcMar>
          </w:tcPr>
          <w:p>
            <w:pPr>
              <w:spacing w:after="0" w:line="240"/>
              <w:jc w:val="right"/>
            </w:pPr>
            <w:r>
              <w:rPr>
                <w:sz w:val="19"/>
                <w:szCs w:val="19"/>
              </w:rPr>
              <w:t xml:space="preserve">78,0</w:t>
            </w:r>
          </w:p>
        </w:tc>
        <w:tc>
          <w:tcPr>
            <w:tcW w:type="dxa" w:w="1400"/>
            <w:tcMar>
              <w:top w:type="dxa" w:w="60"/>
              <w:left w:type="dxa" w:w="90"/>
              <w:bottom w:type="dxa" w:w="60"/>
              <w:right w:type="dxa" w:w="90"/>
            </w:tcMar>
          </w:tcPr>
          <w:p>
            <w:pPr>
              <w:spacing w:after="0" w:line="240"/>
              <w:jc w:val="right"/>
            </w:pPr>
            <w:r>
              <w:rPr>
                <w:sz w:val="19"/>
                <w:szCs w:val="19"/>
              </w:rPr>
              <w:t xml:space="preserve">84,0</w:t>
            </w:r>
          </w:p>
        </w:tc>
        <w:tc>
          <w:tcPr>
            <w:tcW w:type="dxa" w:w="1226"/>
            <w:tcMar>
              <w:top w:type="dxa" w:w="60"/>
              <w:left w:type="dxa" w:w="90"/>
              <w:bottom w:type="dxa" w:w="60"/>
              <w:right w:type="dxa" w:w="90"/>
            </w:tcMar>
          </w:tcPr>
          <w:p>
            <w:pPr>
              <w:spacing w:after="0" w:line="240"/>
              <w:jc w:val="right"/>
            </w:pPr>
            <w:r>
              <w:rPr>
                <w:sz w:val="19"/>
                <w:szCs w:val="19"/>
              </w:rPr>
              <w:t xml:space="preserve">83,3</w:t>
            </w:r>
          </w:p>
        </w:tc>
      </w:tr>
      <w:tr>
        <w:tc>
          <w:tcPr>
            <w:tcW w:type="dxa" w:w="800"/>
            <w:tcMar>
              <w:top w:type="dxa" w:w="60"/>
              <w:left w:type="dxa" w:w="90"/>
              <w:bottom w:type="dxa" w:w="60"/>
              <w:right w:type="dxa" w:w="90"/>
            </w:tcMar>
          </w:tcPr>
          <w:p>
            <w:pPr>
              <w:spacing w:after="0" w:line="240"/>
              <w:jc w:val="left"/>
            </w:pPr>
            <w:r>
              <w:rPr>
                <w:sz w:val="19"/>
                <w:szCs w:val="19"/>
              </w:rPr>
              <w:t xml:space="preserve">3000</w:t>
            </w:r>
          </w:p>
        </w:tc>
        <w:tc>
          <w:tcPr>
            <w:tcW w:type="dxa" w:w="1400"/>
            <w:tcMar>
              <w:top w:type="dxa" w:w="60"/>
              <w:left w:type="dxa" w:w="90"/>
              <w:bottom w:type="dxa" w:w="60"/>
              <w:right w:type="dxa" w:w="90"/>
            </w:tcMar>
          </w:tcPr>
          <w:p>
            <w:pPr>
              <w:spacing w:after="0" w:line="240"/>
              <w:jc w:val="right"/>
            </w:pPr>
            <w:r>
              <w:rPr>
                <w:sz w:val="19"/>
                <w:szCs w:val="19"/>
              </w:rPr>
              <w:t xml:space="preserve">54,0</w:t>
            </w:r>
          </w:p>
        </w:tc>
        <w:tc>
          <w:tcPr>
            <w:tcW w:type="dxa" w:w="1400"/>
            <w:tcMar>
              <w:top w:type="dxa" w:w="60"/>
              <w:left w:type="dxa" w:w="90"/>
              <w:bottom w:type="dxa" w:w="60"/>
              <w:right w:type="dxa" w:w="90"/>
            </w:tcMar>
          </w:tcPr>
          <w:p>
            <w:pPr>
              <w:spacing w:after="0" w:line="240"/>
              <w:jc w:val="right"/>
            </w:pPr>
            <w:r>
              <w:rPr>
                <w:sz w:val="19"/>
                <w:szCs w:val="19"/>
              </w:rPr>
              <w:t xml:space="preserve">67,0</w:t>
            </w:r>
          </w:p>
        </w:tc>
        <w:tc>
          <w:tcPr>
            <w:tcW w:type="dxa" w:w="1400"/>
            <w:tcMar>
              <w:top w:type="dxa" w:w="60"/>
              <w:left w:type="dxa" w:w="90"/>
              <w:bottom w:type="dxa" w:w="60"/>
              <w:right w:type="dxa" w:w="90"/>
            </w:tcMar>
          </w:tcPr>
          <w:p>
            <w:pPr>
              <w:spacing w:after="0" w:line="240"/>
              <w:jc w:val="right"/>
            </w:pPr>
            <w:r>
              <w:rPr>
                <w:sz w:val="19"/>
                <w:szCs w:val="19"/>
              </w:rPr>
              <w:t xml:space="preserve">56,2</w:t>
            </w:r>
          </w:p>
        </w:tc>
        <w:tc>
          <w:tcPr>
            <w:tcW w:type="dxa" w:w="1400"/>
            <w:tcMar>
              <w:top w:type="dxa" w:w="60"/>
              <w:left w:type="dxa" w:w="90"/>
              <w:bottom w:type="dxa" w:w="60"/>
              <w:right w:type="dxa" w:w="90"/>
            </w:tcMar>
          </w:tcPr>
          <w:p>
            <w:pPr>
              <w:spacing w:after="0" w:line="240"/>
              <w:jc w:val="right"/>
            </w:pPr>
            <w:r>
              <w:rPr>
                <w:sz w:val="19"/>
                <w:szCs w:val="19"/>
              </w:rPr>
              <w:t xml:space="preserve">60,5</w:t>
            </w:r>
          </w:p>
        </w:tc>
        <w:tc>
          <w:tcPr>
            <w:tcW w:type="dxa" w:w="1400"/>
            <w:tcMar>
              <w:top w:type="dxa" w:w="60"/>
              <w:left w:type="dxa" w:w="90"/>
              <w:bottom w:type="dxa" w:w="60"/>
              <w:right w:type="dxa" w:w="90"/>
            </w:tcMar>
          </w:tcPr>
          <w:p>
            <w:pPr>
              <w:spacing w:after="0" w:line="240"/>
              <w:jc w:val="right"/>
            </w:pPr>
            <w:r>
              <w:rPr>
                <w:sz w:val="19"/>
                <w:szCs w:val="19"/>
              </w:rPr>
              <w:t xml:space="preserve">69,5</w:t>
            </w:r>
          </w:p>
        </w:tc>
        <w:tc>
          <w:tcPr>
            <w:tcW w:type="dxa" w:w="1226"/>
            <w:tcMar>
              <w:top w:type="dxa" w:w="60"/>
              <w:left w:type="dxa" w:w="90"/>
              <w:bottom w:type="dxa" w:w="60"/>
              <w:right w:type="dxa" w:w="90"/>
            </w:tcMar>
          </w:tcPr>
          <w:p>
            <w:pPr>
              <w:spacing w:after="0" w:line="240"/>
              <w:jc w:val="right"/>
            </w:pPr>
            <w:r>
              <w:rPr>
                <w:sz w:val="19"/>
                <w:szCs w:val="19"/>
              </w:rPr>
              <w:t xml:space="preserve">73,3</w:t>
            </w:r>
          </w:p>
        </w:tc>
      </w:tr>
    </w:tbl>
    <w:p>
      <w:pPr>
        <w:spacing w:after="100" w:line="276"/>
      </w:pPr>
      <w:r>
        <w:t xml:space="preserve"/>
      </w:r>
    </w:p>
    <w:p>
      <w:pPr>
        <w:spacing w:after="120" w:line="276"/>
      </w:pPr>
      <w:r>
        <w:t xml:space="preserve">Centrilift es más severa con el caudal —queda por debajo de la tabla de 60 % en 15 de las 19 filas— y más benigna con la altura —por encima en 17 de 19, y a partir de 1500 SSU supera incluso a la de 70 %—. La brecha llega a unos 13 puntos porcentuales en el extremo viscoso.</w:t>
      </w:r>
    </w:p>
    <w:p>
      <w:pPr>
        <w:spacing w:after="120" w:line="276"/>
      </w:pPr>
      <w:r>
        <w:t xml:space="preserve">Interpreté que ése es el orden de incertidumbre real del método tabulado, y decidí anclar el diseño en una sola fuente (Brown) en vez de promediar las tres. Promediarlas fabricaría una precisión que las fuentes no tienen.</w:t>
      </w:r>
    </w:p>
    <w:p>
      <w:pPr>
        <w:pStyle w:val="Heading1"/>
        <w:spacing w:after="160" w:before="340"/>
      </w:pPr>
      <w:r>
        <w:rPr>
          <w:b/>
          <w:bCs/>
          <w:color w:val="1F4E79"/>
          <w:sz w:val="30"/>
          <w:szCs w:val="30"/>
        </w:rPr>
        <w:t xml:space="preserve">6. Preguntas concretas</w:t>
      </w:r>
    </w:p>
    <w:p>
      <w:pPr>
        <w:spacing w:after="120" w:line="276"/>
      </w:pPr>
      <w:r>
        <w:t xml:space="preserve">Si puede contestarlas aunque sea con un sí o un no, me alcanza para cerrar el capítulo.</w:t>
      </w:r>
    </w:p>
    <w:p>
      <w:pPr>
        <w:pStyle w:val="ListParagraph"/>
        <w:numPr>
          <w:ilvl w:val="0"/>
          <w:numId w:val="3"/>
        </w:numPr>
        <w:spacing w:after="130" w:line="276"/>
      </w:pPr>
      <w:r>
        <w:t xml:space="preserve">La temperatura de evaluación (D2): ¿admisión de la bomba, o el procedimiento pide literalmente reservorio y me estoy pasando de conservador?</w:t>
      </w:r>
    </w:p>
    <w:p>
      <w:pPr>
        <w:pStyle w:val="ListParagraph"/>
        <w:numPr>
          <w:ilvl w:val="0"/>
          <w:numId w:val="3"/>
        </w:numPr>
        <w:spacing w:after="130" w:line="276"/>
      </w:pPr>
      <w:r>
        <w:t xml:space="preserve">La interpolación lineal entre las tablas de 60 % y 70 % (D3): ¿es aceptable, o conviene usar siempre la tabla más cercana sin interpolar?</w:t>
      </w:r>
    </w:p>
    <w:p>
      <w:pPr>
        <w:pStyle w:val="ListParagraph"/>
        <w:numPr>
          <w:ilvl w:val="0"/>
          <w:numId w:val="3"/>
        </w:numPr>
        <w:spacing w:after="130" w:line="276"/>
      </w:pPr>
      <w:r>
        <w:t xml:space="preserve">El rendimiento que entra a la tabla (D4): ¿el máximo de catálogo, como entendí, o el del punto de operación?</w:t>
      </w:r>
    </w:p>
    <w:p>
      <w:pPr>
        <w:pStyle w:val="ListParagraph"/>
        <w:numPr>
          <w:ilvl w:val="0"/>
          <w:numId w:val="3"/>
        </w:numPr>
        <w:spacing w:after="130" w:line="276"/>
      </w:pPr>
      <w:r>
        <w:t xml:space="preserve">Que la corrección no necesite iterarse (D5): ¿comparte el razonamiento, o hay un acoplamiento que se me está escapando?</w:t>
      </w:r>
    </w:p>
    <w:p>
      <w:pPr>
        <w:pStyle w:val="ListParagraph"/>
        <w:numPr>
          <w:ilvl w:val="0"/>
          <w:numId w:val="3"/>
        </w:numPr>
        <w:spacing w:after="130" w:line="276"/>
      </w:pPr>
      <w:r>
        <w:t xml:space="preserve">El corte de agua (D7): ¿lo dejo reportado como no realizado hasta tener el dato de laboratorio, o prefiere que adopte alguna correlación de emulsión —Woelflin, Brinkman, Vand— aunque sea aproximada?</w:t>
      </w:r>
    </w:p>
    <w:p>
      <w:pPr>
        <w:pStyle w:val="ListParagraph"/>
        <w:numPr>
          <w:ilvl w:val="0"/>
          <w:numId w:val="3"/>
        </w:numPr>
        <w:spacing w:after="130" w:line="276"/>
      </w:pPr>
      <w:r>
        <w:t xml:space="preserve">Las dos erratas del Takács (5.1 y 5.2): ¿coincide en que el ejemplo resuelto tiene el signo cambiado y en que la ec. 4.12 lleva el rendimiento en fracción?</w:t>
      </w:r>
    </w:p>
    <w:p>
      <w:pPr>
        <w:pStyle w:val="ListParagraph"/>
        <w:numPr>
          <w:ilvl w:val="0"/>
          <w:numId w:val="3"/>
        </w:numPr>
        <w:spacing w:after="130" w:line="276"/>
      </w:pPr>
      <w:r>
        <w:t xml:space="preserve">La numeración cruzada de las figuras del Apéndice 4L (5.4): ¿es una errata conocida?</w:t>
      </w:r>
    </w:p>
    <w:p>
      <w:pPr>
        <w:pStyle w:val="ListParagraph"/>
        <w:numPr>
          <w:ilvl w:val="0"/>
          <w:numId w:val="3"/>
        </w:numPr>
        <w:spacing w:after="130" w:line="276"/>
      </w:pPr>
      <w:r>
        <w:t xml:space="preserve">El tope de validez del modelo del Hydraulic Institute (5.5): ¿le parece correcto cortar el cálculo, o preferiría que devuelva el resultado con una advertencia?</w:t>
      </w:r>
    </w:p>
    <w:p>
      <w:pPr>
        <w:pStyle w:val="ListParagraph"/>
        <w:numPr>
          <w:ilvl w:val="0"/>
          <w:numId w:val="3"/>
        </w:numPr>
        <w:spacing w:after="130" w:line="276"/>
      </w:pPr>
      <w:r>
        <w:t xml:space="preserve">Anclar el diseño en una sola fuente de tablas en vez de promediar (5.6): ¿está de acuerdo?</w:t>
      </w:r>
    </w:p>
    <w:p>
      <w:pPr>
        <w:pStyle w:val="ListParagraph"/>
        <w:numPr>
          <w:ilvl w:val="0"/>
          <w:numId w:val="3"/>
        </w:numPr>
        <w:spacing w:after="130" w:line="276"/>
      </w:pPr>
      <w:r>
        <w:t xml:space="preserve">¿Tiene la página de la Fig. 4L (2) en buena resolución, o alguna tabla de viscosidad de crudo muerto que pueda usar en lugar de Beggs-Robinson para crudos de menos de 20 °API?</w:t>
      </w:r>
    </w:p>
    <w:p>
      <w:pPr>
        <w:spacing w:after="240" w:line="276"/>
      </w:pPr>
      <w:r>
        <w:t xml:space="preserve"/>
      </w:r>
    </w:p>
    <w:p>
      <w:pPr>
        <w:spacing w:after="140" w:line="276"/>
      </w:pPr>
      <w:r>
        <w:t xml:space="preserve">Gracias por el tiempo. Cualquier cosa que quiera ver corriendo, se lo muestro.</w:t>
      </w:r>
    </w:p>
    <w:p>
      <w:pPr>
        <w:spacing w:after="40" w:line="276"/>
      </w:pPr>
      <w:r>
        <w:rPr>
          <w:b/>
          <w:bCs/>
        </w:rPr>
        <w:t xml:space="preserve">Pablo Tejerina</w:t>
      </w:r>
    </w:p>
    <w:p>
      <w:pPr>
        <w:spacing w:after="120" w:line="276"/>
      </w:pPr>
      <w:r>
        <w:rPr>
          <w:color w:val="595959"/>
          <w:sz w:val="19"/>
          <w:szCs w:val="19"/>
        </w:rPr>
        <w:t xml:space="preserve">pablotejerina.p@gmail.com</w:t>
      </w:r>
    </w:p>
    <w:p>
      <w:pPr>
        <w:pBdr>
          <w:bottom w:val="single" w:color="BFBFBF" w:sz="6"/>
        </w:pBdr>
        <w:spacing w:after="180" w:before="60"/>
      </w:pPr>
    </w:p>
    <w:p>
      <w:pPr>
        <w:spacing w:after="80" w:line="276"/>
      </w:pPr>
      <w:r>
        <w:rPr>
          <w:b/>
          <w:bCs/>
          <w:sz w:val="19"/>
          <w:szCs w:val="19"/>
        </w:rPr>
        <w:t xml:space="preserve">Fuentes citadas</w:t>
      </w:r>
    </w:p>
    <w:p>
      <w:pPr>
        <w:pStyle w:val="ListParagraph"/>
        <w:numPr>
          <w:ilvl w:val="0"/>
          <w:numId w:val="2"/>
        </w:numPr>
        <w:spacing w:after="90" w:line="276"/>
      </w:pPr>
      <w:r>
        <w:t xml:space="preserve">Brown, K. E. The Technology of Artificial Lift Methods, Vol. 2b. PennWell, Tulsa. §4.53112, Apéndice 4L, Tablas 4.520 y 4.521.</w:t>
      </w:r>
    </w:p>
    <w:p>
      <w:pPr>
        <w:pStyle w:val="ListParagraph"/>
        <w:numPr>
          <w:ilvl w:val="0"/>
          <w:numId w:val="2"/>
        </w:numPr>
        <w:spacing w:after="90" w:line="276"/>
      </w:pPr>
      <w:r>
        <w:t xml:space="preserve">Takács, G. (2018). Electrical Submersible Pumps Manual, 2.ª ed. Elsevier. §4.2 «Pumping Viscous Liquids», ecuaciones 4.1 a 4.14 y Tabla 4.1.</w:t>
      </w:r>
    </w:p>
    <w:p>
      <w:pPr>
        <w:pStyle w:val="ListParagraph"/>
        <w:numPr>
          <w:ilvl w:val="0"/>
          <w:numId w:val="2"/>
        </w:numPr>
        <w:spacing w:after="90" w:line="276"/>
      </w:pPr>
      <w:r>
        <w:t xml:space="preserve">Turzo, Z., Takács, G. y Zsuga, J. (2000). «Equations correct centrifugal pump curves for viscosity». Oil &amp; Gas Journal, 29 de mayo de 2000.</w:t>
      </w:r>
    </w:p>
    <w:p>
      <w:pPr>
        <w:pStyle w:val="ListParagraph"/>
        <w:numPr>
          <w:ilvl w:val="0"/>
          <w:numId w:val="2"/>
        </w:numPr>
        <w:spacing w:after="90" w:line="276"/>
      </w:pPr>
      <w:r>
        <w:t xml:space="preserve">Beggs, H. D. y Robinson, J. R. (1975). Estimating the viscosity of crude oil systems. Journal of Petroleum Technology.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2026-08-12T12:11:25.655Z</dcterms:created>
  <dcterms:modified xsi:type="dcterms:W3CDTF">2026-08-12T12:11:25.656Z</dcterms:modified>
</cp:coreProperties>
</file>

<file path=docProps/custom.xml><?xml version="1.0" encoding="utf-8"?>
<Properties xmlns="http://schemas.openxmlformats.org/officeDocument/2006/custom-properties" xmlns:vt="http://schemas.openxmlformats.org/officeDocument/2006/docPropsVTypes"/>
</file>