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spacing w:after="80"/>
              <w:jc w:val="both"/>
              <w:rPr>
                <w:rFonts w:ascii="Calibri" w:hAnsi="Calibri" w:cs="Arial"/>
                <w:i/>
                <w:color w:val="548DD4"/>
                <w:sz w:val="20"/>
                <w:szCs w:val="20"/>
                <w:lang w:eastAsia="es-CL"/>
              </w:rPr>
            </w:pPr>
            <w:r>
              <w:rPr>
                <w:rFonts w:ascii="Calibri" w:hAnsi="Calibri"/>
                <w:b w:val="0"/>
                <w:i w:val="0"/>
                <w:color w:val="1B2433"/>
                <w:sz w:val="20"/>
              </w:rPr>
              <w:t>El proyecto avanzó desde la definición hasta un sistema operativo y desplegado en producción. Al cierre de la semana 9 quedaron completas las siete fases del plan: los cincuenta módulos del levantamiento tienen pantalla navegable y el ciclo contable funciona de principio a fin, desde la creación de la empresa hasta los balances.</w:t>
            </w:r>
          </w:p>
          <w:p w14:paraId="62B29CFD" w14:textId="12228CA9" w:rsidR="0003309E" w:rsidRDefault="0003309E" w:rsidP="00585A13">
            <w:pPr>
              <w:spacing w:after="80"/>
              <w:jc w:val="both"/>
              <w:rPr>
                <w:rFonts w:ascii="Calibri" w:hAnsi="Calibri" w:cs="Arial"/>
                <w:i/>
                <w:color w:val="548DD4"/>
                <w:sz w:val="20"/>
                <w:szCs w:val="20"/>
                <w:lang w:eastAsia="es-CL"/>
              </w:rPr>
            </w:pPr>
            <w:r>
              <w:rPr>
                <w:rFonts w:ascii="Calibri" w:hAnsi="Calibri"/>
                <w:b w:val="0"/>
                <w:i w:val="0"/>
                <w:color w:val="1B2433"/>
                <w:sz w:val="20"/>
              </w:rPr>
              <w:t>Al 22 de octubre: 107 cambios integrados a la rama principal, 734 pruebas automatizadas, 36 migraciones de base de datos y despliegue continuo en Cloud Run.</w:t>
            </w:r>
          </w:p>
          <w:p w14:paraId="62B29CFD" w14:textId="12228CA9" w:rsidR="0003309E" w:rsidRDefault="0003309E" w:rsidP="00585A13">
            <w:pPr>
              <w:spacing w:after="80"/>
              <w:jc w:val="both"/>
              <w:rPr>
                <w:rFonts w:ascii="Calibri" w:hAnsi="Calibri" w:cs="Arial"/>
                <w:i/>
                <w:color w:val="548DD4"/>
                <w:sz w:val="20"/>
                <w:szCs w:val="20"/>
                <w:lang w:eastAsia="es-CL"/>
              </w:rPr>
            </w:pPr>
            <w:r>
              <w:rPr>
                <w:rFonts w:ascii="Calibri" w:hAnsi="Calibri"/>
                <w:b w:val="0"/>
                <w:i w:val="0"/>
                <w:color w:val="1B2433"/>
                <w:sz w:val="20"/>
              </w:rPr>
              <w:t>Después de la demostración con el contador se incorporaron requerimientos nuevos: la integración real con el SII, el soporte multimoneda, el mapeo de cuentas a los códigos de la declaración jurada y el panel de resumen mensual. Cuatro de esos módulos tienen código integrado o en revisión.</w:t>
            </w:r>
          </w:p>
          <w:p w14:paraId="62B29CFD" w14:textId="12228CA9" w:rsidR="0003309E" w:rsidRDefault="0003309E" w:rsidP="00585A13">
            <w:pPr>
              <w:spacing w:after="80"/>
              <w:jc w:val="both"/>
              <w:rPr>
                <w:rFonts w:ascii="Calibri" w:hAnsi="Calibri" w:cs="Arial"/>
                <w:i/>
                <w:color w:val="548DD4"/>
                <w:sz w:val="20"/>
                <w:szCs w:val="20"/>
                <w:lang w:eastAsia="es-CL"/>
              </w:rPr>
            </w:pPr>
            <w:r>
              <w:rPr>
                <w:rFonts w:ascii="Calibri" w:hAnsi="Calibri"/>
                <w:b w:val="0"/>
                <w:i w:val="0"/>
                <w:color w:val="1B2433"/>
                <w:sz w:val="20"/>
              </w:rPr>
              <w:t>La integración con el SII es la actividad crítica y presenta retraso: el conector está construido, pero el sistema en producción aún opera con datos simulados.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spacing w:after="80"/>
              <w:jc w:val="both"/>
              <w:rPr>
                <w:rFonts w:ascii="Calibri" w:hAnsi="Calibri" w:cs="Arial"/>
                <w:b/>
                <w:i/>
                <w:color w:val="548DD4"/>
                <w:sz w:val="20"/>
                <w:szCs w:val="20"/>
                <w:lang w:eastAsia="es-CL"/>
              </w:rPr>
            </w:pPr>
            <w:r>
              <w:rPr>
                <w:rFonts w:ascii="Calibri" w:hAnsi="Calibri"/>
                <w:b w:val="0"/>
                <w:i w:val="0"/>
                <w:color w:val="1B2433"/>
                <w:sz w:val="20"/>
              </w:rPr>
              <w:t>Los objetivos declarados en la Fase 1 se mantienen sin cambios y se cumplieron.</w:t>
            </w:r>
          </w:p>
          <w:p w14:paraId="0DD025FA" w14:textId="77777777" w:rsidR="0003309E" w:rsidRPr="00A370C8" w:rsidRDefault="0003309E" w:rsidP="00585A13">
            <w:pPr>
              <w:spacing w:after="80"/>
              <w:jc w:val="both"/>
              <w:rPr>
                <w:rFonts w:ascii="Calibri" w:hAnsi="Calibri" w:cs="Arial"/>
                <w:b/>
                <w:i/>
                <w:color w:val="548DD4"/>
                <w:sz w:val="20"/>
                <w:szCs w:val="20"/>
                <w:lang w:eastAsia="es-CL"/>
              </w:rPr>
            </w:pPr>
            <w:r>
              <w:rPr>
                <w:rFonts w:ascii="Calibri" w:hAnsi="Calibri"/>
                <w:b w:val="0"/>
                <w:i w:val="0"/>
                <w:color w:val="1B2433"/>
                <w:sz w:val="20"/>
              </w:rPr>
              <w:t>Lo que se amplió fue el alcance. De la reunión con el contador surgieron trece requerimientos nuevos, que no estaban en la planificación inicial. Ese trabajo se incorporó como una etapa adicional y se declara como tal.</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spacing w:after="80"/>
              <w:jc w:val="both"/>
              <w:rPr>
                <w:rFonts w:ascii="Calibri" w:hAnsi="Calibri" w:cs="Arial"/>
                <w:i/>
                <w:color w:val="548DD4"/>
                <w:sz w:val="20"/>
                <w:szCs w:val="20"/>
                <w:lang w:eastAsia="es-CL"/>
              </w:rPr>
            </w:pPr>
            <w:r>
              <w:rPr>
                <w:rFonts w:ascii="Calibri" w:hAnsi="Calibri"/>
                <w:b w:val="0"/>
                <w:i w:val="0"/>
                <w:color w:val="1B2433"/>
                <w:sz w:val="20"/>
              </w:rPr>
              <w:t>La metodología Spec-Driven Development se mantiene sin cambios. Cada módulo parte de una especificación con su modelo de datos, sus endpoints y sus criterios de aceptación; se desarrolla en una rama propia; se integra mediante un cambio revisado por el otro integrante; y el despliegue depende de que las pruebas pasen.</w:t>
            </w:r>
          </w:p>
          <w:p w14:paraId="0908C15F" w14:textId="77777777" w:rsidR="0003309E" w:rsidRPr="00711C16" w:rsidRDefault="0003309E" w:rsidP="00585A13">
            <w:pPr>
              <w:spacing w:after="80"/>
              <w:jc w:val="both"/>
              <w:rPr>
                <w:rFonts w:ascii="Calibri" w:hAnsi="Calibri" w:cs="Arial"/>
                <w:i/>
                <w:color w:val="548DD4"/>
                <w:sz w:val="20"/>
                <w:szCs w:val="20"/>
                <w:lang w:eastAsia="es-CL"/>
              </w:rPr>
            </w:pPr>
            <w:r>
              <w:rPr>
                <w:rFonts w:ascii="Calibri" w:hAnsi="Calibri"/>
                <w:b w:val="0"/>
                <w:i w:val="0"/>
                <w:color w:val="1B2433"/>
                <w:sz w:val="20"/>
              </w:rPr>
              <w:t>Los ajustes fueron de ejecución. Se agregó una segunda pasada de auditoría sobre los criterios de aceptación de lo ya construido, y se adoptó la estrategia de cubrir primero todo el catálogo de módulos para después profundizar en la lógica de negocio.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spacing w:after="80"/>
              <w:jc w:val="both"/>
              <w:rPr>
                <w:rFonts w:ascii="Calibri" w:hAnsi="Calibri" w:cs="Arial"/>
                <w:i/>
                <w:color w:val="548DD4"/>
                <w:sz w:val="20"/>
                <w:szCs w:val="20"/>
                <w:lang w:eastAsia="es-CL"/>
              </w:rPr>
            </w:pPr>
            <w:r>
              <w:rPr>
                <w:rFonts w:ascii="Calibri" w:hAnsi="Calibri"/>
                <w:b/>
                <w:i w:val="0"/>
                <w:color w:val="1B2433"/>
                <w:sz w:val="20"/>
              </w:rPr>
              <w:t>1. Repositorio del proyecto.</w:t>
            </w:r>
            <w:r>
              <w:rPr>
                <w:rFonts w:ascii="Calibri" w:hAnsi="Calibri"/>
                <w:b w:val="0"/>
                <w:i w:val="0"/>
                <w:color w:val="1B2433"/>
                <w:sz w:val="20"/>
              </w:rPr>
              <w:t xml:space="preserve"> Cada módulo tiene su rama, su revisión cruzada y sus pruebas. El pipeline bloquea el despliegue si alguna prueba falla.</w:t>
            </w:r>
          </w:p>
          <w:p w14:paraId="2C28AC8B" w14:textId="7676AFBF" w:rsidR="0003309E" w:rsidRDefault="0003309E" w:rsidP="00585A13">
            <w:pPr>
              <w:spacing w:after="80"/>
              <w:jc w:val="both"/>
              <w:rPr>
                <w:rFonts w:ascii="Calibri" w:hAnsi="Calibri" w:cs="Arial"/>
                <w:i/>
                <w:color w:val="548DD4"/>
                <w:sz w:val="20"/>
                <w:szCs w:val="20"/>
                <w:lang w:eastAsia="es-CL"/>
              </w:rPr>
            </w:pPr>
            <w:r>
              <w:rPr>
                <w:rFonts w:ascii="Calibri" w:hAnsi="Calibri"/>
                <w:b/>
                <w:i w:val="0"/>
                <w:color w:val="1B2433"/>
                <w:sz w:val="20"/>
              </w:rPr>
              <w:t>2. Capturas del sistema en producción.</w:t>
            </w:r>
            <w:r>
              <w:rPr>
                <w:rFonts w:ascii="Calibri" w:hAnsi="Calibri"/>
                <w:b w:val="0"/>
                <w:i w:val="0"/>
                <w:color w:val="1B2433"/>
                <w:sz w:val="20"/>
              </w:rPr>
              <w:t xml:space="preserve"> Recorren el ciclo contable completo, desde la conexión de la empresa hasta los balances.</w:t>
            </w:r>
          </w:p>
          <w:p w14:paraId="2C28AC8B" w14:textId="7676AFBF" w:rsidR="0003309E" w:rsidRDefault="0003309E" w:rsidP="00585A13">
            <w:pPr>
              <w:spacing w:after="80"/>
              <w:jc w:val="both"/>
              <w:rPr>
                <w:rFonts w:ascii="Calibri" w:hAnsi="Calibri" w:cs="Arial"/>
                <w:i/>
                <w:color w:val="548DD4"/>
                <w:sz w:val="20"/>
                <w:szCs w:val="20"/>
                <w:lang w:eastAsia="es-CL"/>
              </w:rPr>
            </w:pPr>
            <w:r>
              <w:rPr>
                <w:rFonts w:ascii="Calibri" w:hAnsi="Calibri"/>
                <w:b/>
                <w:i w:val="0"/>
                <w:color w:val="1B2433"/>
                <w:sz w:val="20"/>
              </w:rPr>
              <w:t>3. Documentación técnica.</w:t>
            </w:r>
            <w:r>
              <w:rPr>
                <w:rFonts w:ascii="Calibri" w:hAnsi="Calibri"/>
                <w:b w:val="0"/>
                <w:i w:val="0"/>
                <w:color w:val="1B2433"/>
                <w:sz w:val="20"/>
              </w:rPr>
              <w:t xml:space="preserve"> Roadmap, especificaciones, modelo de datos con sus cuarenta y seis entidades y acta de la reunión con el contador.</w:t>
            </w:r>
          </w:p>
          <w:p w14:paraId="2C28AC8B" w14:textId="7676AFBF" w:rsidR="0003309E" w:rsidRDefault="0003309E" w:rsidP="00585A13">
            <w:pPr>
              <w:spacing w:after="80"/>
              <w:jc w:val="both"/>
              <w:rPr>
                <w:rFonts w:ascii="Calibri" w:hAnsi="Calibri" w:cs="Arial"/>
                <w:i/>
                <w:color w:val="548DD4"/>
                <w:sz w:val="20"/>
                <w:szCs w:val="20"/>
                <w:lang w:eastAsia="es-CL"/>
              </w:rPr>
            </w:pPr>
            <w:r>
              <w:rPr>
                <w:rFonts w:ascii="Calibri" w:hAnsi="Calibri"/>
                <w:b/>
                <w:i w:val="0"/>
                <w:color w:val="1B2433"/>
                <w:sz w:val="20"/>
              </w:rPr>
              <w:t>4. Bitácora de pruebas.</w:t>
            </w:r>
            <w:r>
              <w:rPr>
                <w:rFonts w:ascii="Calibri" w:hAnsi="Calibri"/>
                <w:b w:val="0"/>
                <w:i w:val="0"/>
                <w:color w:val="1B2433"/>
                <w:sz w:val="20"/>
              </w:rPr>
              <w:t xml:space="preserve"> Registro del uso del sistema en producción, con los hallazgos y su resolución.</w:t>
            </w:r>
          </w:p>
          <w:p w14:paraId="2C28AC8B" w14:textId="7676AFBF" w:rsidR="0003309E" w:rsidRDefault="0003309E" w:rsidP="00585A13">
            <w:pPr>
              <w:spacing w:after="80"/>
              <w:jc w:val="both"/>
              <w:rPr>
                <w:rFonts w:ascii="Calibri" w:hAnsi="Calibri" w:cs="Arial"/>
                <w:i/>
                <w:color w:val="548DD4"/>
                <w:sz w:val="20"/>
                <w:szCs w:val="20"/>
                <w:lang w:eastAsia="es-CL"/>
              </w:rPr>
            </w:pPr>
            <w:r>
              <w:rPr>
                <w:rFonts w:ascii="Calibri" w:hAnsi="Calibri"/>
                <w:b w:val="0"/>
                <w:i w:val="0"/>
                <w:color w:val="1B2433"/>
                <w:sz w:val="20"/>
              </w:rPr>
              <w:t>La calidad de estas evidencias se resguarda porque provienen del historial del repositorio, del ambiente productivo y de documentos versionados junto al código.</w:t>
            </w:r>
          </w:p>
          <w:p w14:paraId="2C28AC8B" w14:textId="7676AFBF" w:rsidR="0003309E" w:rsidRDefault="0003309E" w:rsidP="00585A13">
            <w:pPr>
              <w:spacing w:after="40" w:before="160"/>
              <w:jc w:val="center"/>
              <w:rPr>
                <w:rFonts w:ascii="Calibri" w:hAnsi="Calibri" w:cs="Arial"/>
                <w:i/>
                <w:color w:val="548DD4"/>
                <w:sz w:val="20"/>
                <w:szCs w:val="20"/>
                <w:lang w:eastAsia="es-CL"/>
              </w:rPr>
            </w:pPr>
            <w:r>
              <w:drawing>
                <wp:inline xmlns:a="http://schemas.openxmlformats.org/drawingml/2006/main" xmlns:pic="http://schemas.openxmlformats.org/drawingml/2006/picture">
                  <wp:extent cx="3657600" cy="1514475"/>
                  <wp:docPr id="50" name="Picture 50"/>
                  <wp:cNvGraphicFramePr>
                    <a:graphicFrameLocks noChangeAspect="1"/>
                  </wp:cNvGraphicFramePr>
                  <a:graphic>
                    <a:graphicData uri="http://schemas.openxmlformats.org/drawingml/2006/picture">
                      <pic:pic>
                        <pic:nvPicPr>
                          <pic:cNvPr id="0" name="12_voucher_cuadrado.jpg"/>
                          <pic:cNvPicPr/>
                        </pic:nvPicPr>
                        <pic:blipFill>
                          <a:blip r:embed="rId13"/>
                          <a:stretch>
                            <a:fillRect/>
                          </a:stretch>
                        </pic:blipFill>
                        <pic:spPr>
                          <a:xfrm>
                            <a:off x="0" y="0"/>
                            <a:ext cx="3657600" cy="1514475"/>
                          </a:xfrm>
                          <a:prstGeom prst="rect"/>
                        </pic:spPr>
                      </pic:pic>
                    </a:graphicData>
                  </a:graphic>
                </wp:inline>
              </w:drawing>
            </w:r>
          </w:p>
          <w:p w14:paraId="2C28AC8B" w14:textId="7676AFBF" w:rsidR="0003309E" w:rsidRDefault="0003309E" w:rsidP="00585A13">
            <w:pPr>
              <w:spacing w:after="200" w:before="160"/>
              <w:jc w:val="center"/>
              <w:rPr>
                <w:rFonts w:ascii="Calibri" w:hAnsi="Calibri" w:cs="Arial"/>
                <w:i/>
                <w:color w:val="548DD4"/>
                <w:sz w:val="20"/>
                <w:szCs w:val="20"/>
                <w:lang w:eastAsia="es-CL"/>
              </w:rPr>
            </w:pPr>
            <w:r>
              <w:rPr>
                <w:rFonts w:ascii="Calibri" w:hAnsi="Calibri"/>
                <w:i/>
                <w:color w:val="595959"/>
                <w:sz w:val="17"/>
              </w:rPr>
              <w:t>Figura 1. Comprobante con la partida doble cuadrada: el sistema permite guardarlo.</w:t>
            </w:r>
          </w:p>
          <w:p w14:paraId="2C28AC8B" w14:textId="7676AFBF" w:rsidR="0003309E" w:rsidRDefault="0003309E" w:rsidP="00585A13">
            <w:pPr>
              <w:spacing w:after="40" w:before="160"/>
              <w:jc w:val="center"/>
              <w:rPr>
                <w:rFonts w:ascii="Calibri" w:hAnsi="Calibri" w:cs="Arial"/>
                <w:i/>
                <w:color w:val="548DD4"/>
                <w:sz w:val="20"/>
                <w:szCs w:val="20"/>
                <w:lang w:eastAsia="es-CL"/>
              </w:rPr>
            </w:pPr>
            <w:r>
              <w:drawing>
                <wp:inline xmlns:a="http://schemas.openxmlformats.org/drawingml/2006/main" xmlns:pic="http://schemas.openxmlformats.org/drawingml/2006/picture">
                  <wp:extent cx="3657600" cy="1514475"/>
                  <wp:docPr id="51" name="Picture 51"/>
                  <wp:cNvGraphicFramePr>
                    <a:graphicFrameLocks noChangeAspect="1"/>
                  </wp:cNvGraphicFramePr>
                  <a:graphic>
                    <a:graphicData uri="http://schemas.openxmlformats.org/drawingml/2006/picture">
                      <pic:pic>
                        <pic:nvPicPr>
                          <pic:cNvPr id="0" name="13_voucher_descuadrado.jpg"/>
                          <pic:cNvPicPr/>
                        </pic:nvPicPr>
                        <pic:blipFill>
                          <a:blip r:embed="rId14"/>
                          <a:stretch>
                            <a:fillRect/>
                          </a:stretch>
                        </pic:blipFill>
                        <pic:spPr>
                          <a:xfrm>
                            <a:off x="0" y="0"/>
                            <a:ext cx="3657600" cy="1514475"/>
                          </a:xfrm>
                          <a:prstGeom prst="rect"/>
                        </pic:spPr>
                      </pic:pic>
                    </a:graphicData>
                  </a:graphic>
                </wp:inline>
              </w:drawing>
            </w:r>
          </w:p>
          <w:p w14:paraId="2C28AC8B" w14:textId="7676AFBF" w:rsidR="0003309E" w:rsidRDefault="0003309E" w:rsidP="00585A13">
            <w:pPr>
              <w:spacing w:after="200" w:before="160"/>
              <w:jc w:val="center"/>
              <w:rPr>
                <w:rFonts w:ascii="Calibri" w:hAnsi="Calibri" w:cs="Arial"/>
                <w:i/>
                <w:color w:val="548DD4"/>
                <w:sz w:val="20"/>
                <w:szCs w:val="20"/>
                <w:lang w:eastAsia="es-CL"/>
              </w:rPr>
            </w:pPr>
            <w:r>
              <w:rPr>
                <w:rFonts w:ascii="Calibri" w:hAnsi="Calibri"/>
                <w:i/>
                <w:color w:val="595959"/>
                <w:sz w:val="17"/>
              </w:rPr>
              <w:t>Figura 2. El mismo comprobante descuadrado: la diferencia se marca en rojo y no se puede guardar.</w:t>
            </w:r>
          </w:p>
          <w:p w14:paraId="2C28AC8B" w14:textId="7676AFBF" w:rsidR="0003309E" w:rsidRDefault="0003309E" w:rsidP="00585A13">
            <w:pPr>
              <w:spacing w:after="40" w:before="160"/>
              <w:jc w:val="center"/>
              <w:rPr>
                <w:rFonts w:ascii="Calibri" w:hAnsi="Calibri" w:cs="Arial"/>
                <w:i/>
                <w:color w:val="548DD4"/>
                <w:sz w:val="20"/>
                <w:szCs w:val="20"/>
                <w:lang w:eastAsia="es-CL"/>
              </w:rPr>
            </w:pPr>
            <w:r>
              <w:drawing>
                <wp:inline xmlns:a="http://schemas.openxmlformats.org/drawingml/2006/main" xmlns:pic="http://schemas.openxmlformats.org/drawingml/2006/picture">
                  <wp:extent cx="3657600" cy="1511618"/>
                  <wp:docPr id="52" name="Picture 52"/>
                  <wp:cNvGraphicFramePr>
                    <a:graphicFrameLocks noChangeAspect="1"/>
                  </wp:cNvGraphicFramePr>
                  <a:graphic>
                    <a:graphicData uri="http://schemas.openxmlformats.org/drawingml/2006/picture">
                      <pic:pic>
                        <pic:nvPicPr>
                          <pic:cNvPr id="0" name="21_libro_diario.jpg"/>
                          <pic:cNvPicPr/>
                        </pic:nvPicPr>
                        <pic:blipFill>
                          <a:blip r:embed="rId15"/>
                          <a:stretch>
                            <a:fillRect/>
                          </a:stretch>
                        </pic:blipFill>
                        <pic:spPr>
                          <a:xfrm>
                            <a:off x="0" y="0"/>
                            <a:ext cx="3657600" cy="1511618"/>
                          </a:xfrm>
                          <a:prstGeom prst="rect"/>
                        </pic:spPr>
                      </pic:pic>
                    </a:graphicData>
                  </a:graphic>
                </wp:inline>
              </w:drawing>
            </w:r>
          </w:p>
          <w:p w14:paraId="2C28AC8B" w14:textId="7676AFBF" w:rsidR="0003309E" w:rsidRDefault="0003309E" w:rsidP="00585A13">
            <w:pPr>
              <w:spacing w:after="200" w:before="160"/>
              <w:jc w:val="center"/>
              <w:rPr>
                <w:rFonts w:ascii="Calibri" w:hAnsi="Calibri" w:cs="Arial"/>
                <w:i/>
                <w:color w:val="548DD4"/>
                <w:sz w:val="20"/>
                <w:szCs w:val="20"/>
                <w:lang w:eastAsia="es-CL"/>
              </w:rPr>
            </w:pPr>
            <w:r>
              <w:rPr>
                <w:rFonts w:ascii="Calibri" w:hAnsi="Calibri"/>
                <w:i/>
                <w:color w:val="595959"/>
                <w:sz w:val="17"/>
              </w:rPr>
              <w:t>Figura 3. Libro Diario del período, con sus totales iguales en el debe y el haber.</w:t>
            </w:r>
          </w:p>
          <w:p w14:paraId="2C28AC8B" w14:textId="7676AFBF" w:rsidR="0003309E" w:rsidRDefault="0003309E" w:rsidP="00585A13">
            <w:pPr>
              <w:spacing w:after="40" w:before="160"/>
              <w:jc w:val="center"/>
              <w:rPr>
                <w:rFonts w:ascii="Calibri" w:hAnsi="Calibri" w:cs="Arial"/>
                <w:i/>
                <w:color w:val="548DD4"/>
                <w:sz w:val="20"/>
                <w:szCs w:val="20"/>
                <w:lang w:eastAsia="es-CL"/>
              </w:rPr>
            </w:pPr>
            <w:r>
              <w:drawing>
                <wp:inline xmlns:a="http://schemas.openxmlformats.org/drawingml/2006/main" xmlns:pic="http://schemas.openxmlformats.org/drawingml/2006/picture">
                  <wp:extent cx="3657600" cy="1511618"/>
                  <wp:docPr id="53" name="Picture 53"/>
                  <wp:cNvGraphicFramePr>
                    <a:graphicFrameLocks noChangeAspect="1"/>
                  </wp:cNvGraphicFramePr>
                  <a:graphic>
                    <a:graphicData uri="http://schemas.openxmlformats.org/drawingml/2006/picture">
                      <pic:pic>
                        <pic:nvPicPr>
                          <pic:cNvPr id="0" name="25_balance_general.jpg"/>
                          <pic:cNvPicPr/>
                        </pic:nvPicPr>
                        <pic:blipFill>
                          <a:blip r:embed="rId16"/>
                          <a:stretch>
                            <a:fillRect/>
                          </a:stretch>
                        </pic:blipFill>
                        <pic:spPr>
                          <a:xfrm>
                            <a:off x="0" y="0"/>
                            <a:ext cx="3657600" cy="1511618"/>
                          </a:xfrm>
                          <a:prstGeom prst="rect"/>
                        </pic:spPr>
                      </pic:pic>
                    </a:graphicData>
                  </a:graphic>
                </wp:inline>
              </w:drawing>
            </w:r>
          </w:p>
          <w:p w14:paraId="2C28AC8B" w14:textId="7676AFBF" w:rsidR="0003309E" w:rsidRDefault="0003309E" w:rsidP="00585A13">
            <w:pPr>
              <w:spacing w:after="200" w:before="160"/>
              <w:jc w:val="center"/>
              <w:rPr>
                <w:rFonts w:ascii="Calibri" w:hAnsi="Calibri" w:cs="Arial"/>
                <w:i/>
                <w:color w:val="548DD4"/>
                <w:sz w:val="20"/>
                <w:szCs w:val="20"/>
                <w:lang w:eastAsia="es-CL"/>
              </w:rPr>
            </w:pPr>
            <w:r>
              <w:rPr>
                <w:rFonts w:ascii="Calibri" w:hAnsi="Calibri"/>
                <w:i/>
                <w:color w:val="595959"/>
                <w:sz w:val="17"/>
              </w:rPr>
              <w:t>Figura 4. Balance General de ocho columnas con el resultado del ejercicio.</w:t>
            </w:r>
          </w:p>
          <w:p w14:paraId="2C28AC8B" w14:textId="7676AFBF" w:rsidR="0003309E" w:rsidRDefault="0003309E" w:rsidP="00585A13">
            <w:pPr>
              <w:spacing w:after="40" w:before="160"/>
              <w:jc w:val="center"/>
              <w:rPr>
                <w:rFonts w:ascii="Calibri" w:hAnsi="Calibri" w:cs="Arial"/>
                <w:i/>
                <w:color w:val="548DD4"/>
                <w:sz w:val="20"/>
                <w:szCs w:val="20"/>
                <w:lang w:eastAsia="es-CL"/>
              </w:rPr>
            </w:pPr>
            <w:r>
              <w:drawing>
                <wp:inline xmlns:a="http://schemas.openxmlformats.org/drawingml/2006/main" xmlns:pic="http://schemas.openxmlformats.org/drawingml/2006/picture">
                  <wp:extent cx="3657600" cy="1514475"/>
                  <wp:docPr id="54" name="Picture 54"/>
                  <wp:cNvGraphicFramePr>
                    <a:graphicFrameLocks noChangeAspect="1"/>
                  </wp:cNvGraphicFramePr>
                  <a:graphic>
                    <a:graphicData uri="http://schemas.openxmlformats.org/drawingml/2006/picture">
                      <pic:pic>
                        <pic:nvPicPr>
                          <pic:cNvPr id="0" name="35_github_ejecucion_ci.jpg"/>
                          <pic:cNvPicPr/>
                        </pic:nvPicPr>
                        <pic:blipFill>
                          <a:blip r:embed="rId17"/>
                          <a:stretch>
                            <a:fillRect/>
                          </a:stretch>
                        </pic:blipFill>
                        <pic:spPr>
                          <a:xfrm>
                            <a:off x="0" y="0"/>
                            <a:ext cx="3657600" cy="1514475"/>
                          </a:xfrm>
                          <a:prstGeom prst="rect"/>
                        </pic:spPr>
                      </pic:pic>
                    </a:graphicData>
                  </a:graphic>
                </wp:inline>
              </w:drawing>
            </w:r>
          </w:p>
          <w:p w14:paraId="2C28AC8B" w14:textId="7676AFBF" w:rsidR="0003309E" w:rsidRDefault="0003309E" w:rsidP="00585A13">
            <w:pPr>
              <w:spacing w:after="200" w:before="160"/>
              <w:jc w:val="center"/>
              <w:rPr>
                <w:rFonts w:ascii="Calibri" w:hAnsi="Calibri" w:cs="Arial"/>
                <w:i/>
                <w:color w:val="548DD4"/>
                <w:sz w:val="20"/>
                <w:szCs w:val="20"/>
                <w:lang w:eastAsia="es-CL"/>
              </w:rPr>
            </w:pPr>
            <w:r>
              <w:rPr>
                <w:rFonts w:ascii="Calibri" w:hAnsi="Calibri"/>
                <w:i/>
                <w:color w:val="595959"/>
                <w:sz w:val="17"/>
              </w:rPr>
              <w:t>Figura 5. Ejecución del pipeline: los tres componentes pasan sus pruebas antes del despliegue.</w:t>
            </w:r>
          </w:p>
          <w:p w14:paraId="2C28AC8B" w14:textId="7676AFBF" w:rsidR="0003309E" w:rsidRDefault="0003309E" w:rsidP="00585A13">
            <w:pPr>
              <w:spacing w:after="40" w:before="160"/>
              <w:jc w:val="center"/>
              <w:rPr>
                <w:rFonts w:ascii="Calibri" w:hAnsi="Calibri" w:cs="Arial"/>
                <w:i/>
                <w:color w:val="548DD4"/>
                <w:sz w:val="20"/>
                <w:szCs w:val="20"/>
                <w:lang w:eastAsia="es-CL"/>
              </w:rPr>
            </w:pPr>
            <w:r>
              <w:drawing>
                <wp:inline xmlns:a="http://schemas.openxmlformats.org/drawingml/2006/main" xmlns:pic="http://schemas.openxmlformats.org/drawingml/2006/picture">
                  <wp:extent cx="3657600" cy="1511618"/>
                  <wp:docPr id="55" name="Picture 55"/>
                  <wp:cNvGraphicFramePr>
                    <a:graphicFrameLocks noChangeAspect="1"/>
                  </wp:cNvGraphicFramePr>
                  <a:graphic>
                    <a:graphicData uri="http://schemas.openxmlformats.org/drawingml/2006/picture">
                      <pic:pic>
                        <pic:nvPicPr>
                          <pic:cNvPr id="0" name="37_github_pr102_tests.jpg"/>
                          <pic:cNvPicPr/>
                        </pic:nvPicPr>
                        <pic:blipFill>
                          <a:blip r:embed="rId18"/>
                          <a:stretch>
                            <a:fillRect/>
                          </a:stretch>
                        </pic:blipFill>
                        <pic:spPr>
                          <a:xfrm>
                            <a:off x="0" y="0"/>
                            <a:ext cx="3657600" cy="1511618"/>
                          </a:xfrm>
                          <a:prstGeom prst="rect"/>
                        </pic:spPr>
                      </pic:pic>
                    </a:graphicData>
                  </a:graphic>
                </wp:inline>
              </w:drawing>
            </w:r>
          </w:p>
          <w:p w14:paraId="2C28AC8B" w14:textId="7676AFBF" w:rsidR="0003309E" w:rsidRDefault="0003309E" w:rsidP="00585A13">
            <w:pPr>
              <w:spacing w:after="200" w:before="160"/>
              <w:jc w:val="center"/>
              <w:rPr>
                <w:rFonts w:ascii="Calibri" w:hAnsi="Calibri" w:cs="Arial"/>
                <w:i/>
                <w:color w:val="548DD4"/>
                <w:sz w:val="20"/>
                <w:szCs w:val="20"/>
                <w:lang w:eastAsia="es-CL"/>
              </w:rPr>
            </w:pPr>
            <w:r>
              <w:rPr>
                <w:rFonts w:ascii="Calibri" w:hAnsi="Calibri"/>
                <w:i/>
                <w:color w:val="595959"/>
                <w:sz w:val="17"/>
              </w:rPr>
              <w:t>Figura 6. Cambio integrado con su revisión y sus pruebas aprobadas.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Competencias 4 y 8</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Análisis de especificaciones y modelado de datos</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SPEC, Prisma, PostgreSQL</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1 y 2</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Las especificaciones escritas facilitaron el análisis.</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Finalizada</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Sin ajustes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Competencias 4 y 6</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Maestros base y captura transaccional</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NestJS, Prisma, Vue 3</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1 a 4</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La base ya en producción permitió avanzar rápido.</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Finalizada</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Sin ajustes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Competencias 6 y 8</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Libros e informes contables</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NestJS, Vue 3, PostgreSQL</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2 a 7</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Actividad de mayor valor: cierra el ciclo contable.</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Finalizada</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Sin ajustes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Competencias 4 y 6</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Compras, ventas, honorarios y tesorería</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NestJS, Vue 3</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8 y 9</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Reutilizar el comprobante evitó duplicar tablas.</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Finalizada</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Se adelantó respecto de lo planificado.</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Competencias 1 y 6</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Auditoría de criterios de aceptación</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Vitest, Jest, apoyo del contador</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8 y 9</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Depende de la validación del negocio.</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Finalizada</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Actividad incorporada durante la ejecución.</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Competencias 6 y 8</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Integración con el SII mediante API Gateway</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apigateway.cl, NestJS</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10 a 14</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Las rutas no estaban documentadas.</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En curso con retraso</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Se reemplazaron las rutas supuestas por el contrato oficial.</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Competencias 4 y 6</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Módulos nuevos solicitados por el cliente</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NestJS, Vue 3, Prisma</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10 a 16</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Requerimientos posteriores a la planificación.</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En curso</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Se priorizó el backend sobre el frontend.</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 1</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Pruebas de certificación y corrección de defectos</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Vitest, Jest, integración continua</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13 a 16</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Las pruebas detectan las regresiones.</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En curso</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La cobertura creció a 734 pruebas.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spacing w:after="80"/>
              <w:jc w:val="left"/>
              <w:rPr>
                <w:b/>
                <w:sz w:val="18"/>
                <w:szCs w:val="24"/>
              </w:rPr>
            </w:pPr>
            <w:r>
              <w:rPr>
                <w:rFonts w:ascii="Calibri" w:hAnsi="Calibri"/>
                <w:b w:val="0"/>
                <w:i w:val="0"/>
                <w:color w:val="1B2433"/>
                <w:sz w:val="15"/>
              </w:rPr>
              <w:t>Competencia 11</w:t>
            </w:r>
          </w:p>
        </w:tc>
        <w:tc>
          <w:tcPr>
            <w:tcW w:w="1077"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Gestión del proyecto y documentación</w:t>
            </w:r>
          </w:p>
        </w:tc>
        <w:tc>
          <w:tcPr>
            <w:tcW w:w="1276" w:type="dxa"/>
          </w:tcPr>
          <w:p w14:paraId="16E191DF" w14:textId="77777777" w:rsidR="00FD5149" w:rsidRPr="006E3B0D" w:rsidRDefault="00FD5149" w:rsidP="00FD5149">
            <w:pPr>
              <w:spacing w:after="80"/>
              <w:jc w:val="left"/>
              <w:rPr>
                <w:b/>
                <w:sz w:val="18"/>
                <w:szCs w:val="24"/>
              </w:rPr>
            </w:pPr>
            <w:r>
              <w:rPr>
                <w:rFonts w:ascii="Calibri" w:hAnsi="Calibri"/>
                <w:b w:val="0"/>
                <w:i w:val="0"/>
                <w:color w:val="1B2433"/>
                <w:sz w:val="15"/>
              </w:rPr>
              <w:t>GitHub, documentación del proyecto</w:t>
            </w:r>
          </w:p>
        </w:tc>
        <w:tc>
          <w:tcPr>
            <w:tcW w:w="1276" w:type="dxa"/>
          </w:tcPr>
          <w:p w14:paraId="66A5D860" w14:textId="77777777" w:rsidR="00FD5149" w:rsidRPr="006E3B0D" w:rsidRDefault="00FD5149" w:rsidP="00FD5149">
            <w:pPr>
              <w:spacing w:after="80"/>
              <w:jc w:val="left"/>
              <w:rPr>
                <w:b/>
                <w:sz w:val="18"/>
                <w:szCs w:val="24"/>
              </w:rPr>
            </w:pPr>
            <w:r>
              <w:rPr>
                <w:rFonts w:ascii="Calibri" w:hAnsi="Calibri"/>
                <w:b w:val="0"/>
                <w:i w:val="0"/>
                <w:color w:val="1B2433"/>
                <w:sz w:val="15"/>
              </w:rPr>
              <w:t>Semanas 1 a 18</w:t>
            </w:r>
          </w:p>
        </w:tc>
        <w:tc>
          <w:tcPr>
            <w:tcW w:w="1275"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Pablo Toro y Gabriel Bermar</w:t>
            </w:r>
          </w:p>
        </w:tc>
        <w:tc>
          <w:tcPr>
            <w:tcW w:w="1276"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La disponibilidad horaria es el principal limitante.</w:t>
            </w:r>
          </w:p>
        </w:tc>
        <w:tc>
          <w:tcPr>
            <w:tcW w:w="1418"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En curso</w:t>
            </w:r>
          </w:p>
        </w:tc>
        <w:tc>
          <w:tcPr>
            <w:tcW w:w="850"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b w:val="0"/>
                <w:i w:val="0"/>
                <w:color w:val="1B2433"/>
                <w:sz w:val="15"/>
              </w:rPr>
              <w:t>Se agregó la bitácora y el manual de usuario.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F34C839" w14:textId="77777777" w:rsidR="0003309E" w:rsidRPr="00CD38BD" w:rsidRDefault="0003309E" w:rsidP="00C5122E">
            <w:pPr>
              <w:spacing w:after="80"/>
              <w:jc w:val="both"/>
              <w:rPr>
                <w:rFonts w:ascii="Calibri" w:hAnsi="Calibri"/>
                <w:color w:val="1F3864" w:themeColor="accent1" w:themeShade="80"/>
              </w:rPr>
            </w:pPr>
            <w:r>
              <w:rPr>
                <w:rFonts w:ascii="Calibri" w:hAnsi="Calibri"/>
                <w:b/>
                <w:i w:val="0"/>
                <w:color w:val="1B2433"/>
                <w:sz w:val="21"/>
              </w:rPr>
              <w:t>Facilitadores.</w:t>
            </w:r>
            <w:r>
              <w:rPr>
                <w:rFonts w:ascii="Calibri" w:hAnsi="Calibri"/>
                <w:b w:val="0"/>
                <w:i w:val="0"/>
                <w:color w:val="1B2433"/>
                <w:sz w:val="21"/>
              </w:rPr>
              <w:t xml:space="preserve"> El trabajo en equipo, porque ambos tenemos el mismo rol y cualquiera puede continuar el trabajo del otro. La base construida en las fases anteriores. Y la metodología, donde cada módulo parte de una especificación con criterios definidos.</w:t>
            </w:r>
          </w:p>
          <w:p w14:paraId="06F208CE" w14:textId="77777777" w:rsidR="0003309E" w:rsidRPr="00CD38BD" w:rsidRDefault="0003309E" w:rsidP="00C5122E">
            <w:pPr>
              <w:spacing w:after="80"/>
              <w:jc w:val="both"/>
              <w:rPr>
                <w:rFonts w:ascii="Calibri" w:hAnsi="Calibri"/>
                <w:color w:val="1F3864" w:themeColor="accent1" w:themeShade="80"/>
              </w:rPr>
            </w:pPr>
            <w:r>
              <w:rPr>
                <w:rFonts w:ascii="Calibri" w:hAnsi="Calibri"/>
                <w:b/>
                <w:i w:val="0"/>
                <w:color w:val="1B2433"/>
                <w:sz w:val="21"/>
              </w:rPr>
              <w:t>Dificultades.</w:t>
            </w:r>
            <w:r>
              <w:rPr>
                <w:rFonts w:ascii="Calibri" w:hAnsi="Calibri"/>
                <w:b w:val="0"/>
                <w:i w:val="0"/>
                <w:color w:val="1B2433"/>
                <w:sz w:val="21"/>
              </w:rPr>
              <w:t xml:space="preserve"> La disponibilidad horaria de ambos, porque compatibilizamos el proyecto con otras asignaturas y con la práctica laboral. La integración con el API Gateway del SII, cuyas rutas no estaban documentadas. Y la dependencia de validaciones del cliente para las reglas tributarias.</w:t>
            </w: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spacing w:after="80"/>
              <w:jc w:val="both"/>
              <w:rPr>
                <w:rFonts w:ascii="Calibri" w:hAnsi="Calibri" w:cs="Arial"/>
                <w:i/>
                <w:color w:val="548DD4"/>
                <w:sz w:val="20"/>
                <w:szCs w:val="20"/>
                <w:lang w:eastAsia="es-CL"/>
              </w:rPr>
            </w:pPr>
            <w:r>
              <w:rPr>
                <w:rFonts w:ascii="Calibri" w:hAnsi="Calibri"/>
                <w:b/>
                <w:i w:val="0"/>
                <w:color w:val="1B2433"/>
                <w:sz w:val="21"/>
              </w:rPr>
              <w:t>Incorporadas.</w:t>
            </w:r>
            <w:r>
              <w:rPr>
                <w:rFonts w:ascii="Calibri" w:hAnsi="Calibri"/>
                <w:b w:val="0"/>
                <w:i w:val="0"/>
                <w:color w:val="1B2433"/>
                <w:sz w:val="21"/>
              </w:rPr>
              <w:t xml:space="preserve"> La auditoría de criterios de aceptación; la integración con el SII y los módulos solicitados por el cliente; y, para el cierre, la bitácora de pruebas y el manual de usuario.</w:t>
            </w:r>
          </w:p>
          <w:p w14:paraId="269AA2D0" w14:textId="77777777" w:rsidR="0003309E" w:rsidRDefault="0003309E" w:rsidP="00C5122E">
            <w:pPr>
              <w:spacing w:after="80"/>
              <w:jc w:val="both"/>
              <w:rPr>
                <w:rFonts w:ascii="Calibri" w:hAnsi="Calibri" w:cs="Arial"/>
                <w:i/>
                <w:color w:val="C00000"/>
                <w:sz w:val="20"/>
                <w:szCs w:val="20"/>
                <w:lang w:eastAsia="es-CL"/>
              </w:rPr>
            </w:pPr>
            <w:r>
              <w:rPr>
                <w:rFonts w:ascii="Calibri" w:hAnsi="Calibri"/>
                <w:b/>
                <w:i w:val="0"/>
                <w:color w:val="1B2433"/>
                <w:sz w:val="21"/>
              </w:rPr>
              <w:t>Ajustadas.</w:t>
            </w:r>
            <w:r>
              <w:rPr>
                <w:rFonts w:ascii="Calibri" w:hAnsi="Calibri"/>
                <w:b w:val="0"/>
                <w:i w:val="0"/>
                <w:color w:val="1B2433"/>
                <w:sz w:val="21"/>
              </w:rPr>
              <w:t xml:space="preserve"> El control de folios se acotó, porque el servicio oficial exige un certificado digital que el sistema no administra. La generación de informes en PDF desde el servidor se pospuso.</w:t>
            </w:r>
          </w:p>
          <w:p w14:paraId="1564C674" w14:textId="77777777" w:rsidR="0003309E" w:rsidRDefault="0003309E" w:rsidP="00C5122E">
            <w:pPr>
              <w:spacing w:after="80"/>
              <w:jc w:val="both"/>
              <w:rPr>
                <w:rFonts w:ascii="Calibri" w:hAnsi="Calibri" w:cs="Arial"/>
                <w:i/>
                <w:color w:val="548DD4"/>
                <w:sz w:val="20"/>
                <w:szCs w:val="20"/>
                <w:lang w:eastAsia="es-CL"/>
              </w:rPr>
            </w:pPr>
            <w:r>
              <w:rPr>
                <w:rFonts w:ascii="Calibri" w:hAnsi="Calibri"/>
                <w:b/>
                <w:i w:val="0"/>
                <w:color w:val="1B2433"/>
                <w:sz w:val="21"/>
              </w:rPr>
              <w:t>Eliminadas.</w:t>
            </w:r>
            <w:r>
              <w:rPr>
                <w:rFonts w:ascii="Calibri" w:hAnsi="Calibri"/>
                <w:b w:val="0"/>
                <w:i w:val="0"/>
                <w:color w:val="1B2433"/>
                <w:sz w:val="21"/>
              </w:rPr>
              <w:t xml:space="preserve"> Ninguna. Todas las actividades comprometidas en la Fase 1 se ejecutaron.</w:t>
            </w: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spacing w:after="80"/>
              <w:jc w:val="both"/>
              <w:rPr>
                <w:rFonts w:ascii="Calibri" w:hAnsi="Calibri" w:cs="Arial"/>
                <w:i/>
                <w:color w:val="548DD4"/>
                <w:sz w:val="20"/>
                <w:szCs w:val="20"/>
                <w:lang w:eastAsia="es-CL"/>
              </w:rPr>
            </w:pPr>
            <w:r>
              <w:rPr>
                <w:rFonts w:ascii="Calibri" w:hAnsi="Calibri"/>
                <w:b/>
                <w:i w:val="0"/>
                <w:color w:val="1B2433"/>
                <w:sz w:val="21"/>
              </w:rPr>
              <w:t>Con retraso.</w:t>
            </w:r>
            <w:r>
              <w:rPr>
                <w:rFonts w:ascii="Calibri" w:hAnsi="Calibri"/>
                <w:b w:val="0"/>
                <w:i w:val="0"/>
                <w:color w:val="1B2433"/>
                <w:sz w:val="21"/>
              </w:rPr>
              <w:t xml:space="preserve"> La integración con el Servicio de Impuestos Internos. Falta cargar las credenciales en el ambiente productivo y activar el modo real. El retraso se debe a la corrección del contrato del servicio, cuyas rutas reales difieren de las documentadas. Para recuperarlo se priorizó esta actividad sobre el resto.</w:t>
            </w:r>
          </w:p>
          <w:p w14:paraId="5D8D4132" w14:textId="77777777" w:rsidR="00FD5149" w:rsidRPr="00CD38BD" w:rsidRDefault="00FD5149" w:rsidP="00585A13">
            <w:pPr>
              <w:spacing w:after="80"/>
              <w:jc w:val="both"/>
              <w:rPr>
                <w:rFonts w:ascii="Calibri" w:hAnsi="Calibri" w:cs="Arial"/>
                <w:i/>
                <w:color w:val="548DD4"/>
                <w:sz w:val="20"/>
                <w:szCs w:val="20"/>
                <w:lang w:eastAsia="es-CL"/>
              </w:rPr>
            </w:pPr>
            <w:r>
              <w:rPr>
                <w:rFonts w:ascii="Calibri" w:hAnsi="Calibri"/>
                <w:b/>
                <w:i w:val="0"/>
                <w:color w:val="1B2433"/>
                <w:sz w:val="21"/>
              </w:rPr>
              <w:t>No iniciadas.</w:t>
            </w:r>
            <w:r>
              <w:rPr>
                <w:rFonts w:ascii="Calibri" w:hAnsi="Calibri"/>
                <w:b w:val="0"/>
                <w:i w:val="0"/>
                <w:color w:val="1B2433"/>
                <w:sz w:val="21"/>
              </w:rPr>
              <w:t xml:space="preserve"> El módulo de remuneraciones, el motor de global complementario, el centro de costo en compras y ventas, y los ajustes de experiencia de uso en el registro de comprobantes. Se declaran como alcance de la etapa siguiente, junto con el control de roles y permisos.</w:t>
            </w:r>
          </w:p>
          <w:p w14:paraId="75C897A7" w14:textId="77777777" w:rsidR="0003309E" w:rsidRDefault="0003309E" w:rsidP="00585A13">
            <w:pPr>
              <w:spacing w:after="80"/>
              <w:jc w:val="both"/>
              <w:rPr>
                <w:rFonts w:ascii="Calibri" w:hAnsi="Calibri" w:cs="Arial"/>
                <w:i/>
                <w:color w:val="548DD4"/>
                <w:sz w:val="20"/>
                <w:szCs w:val="20"/>
                <w:lang w:eastAsia="es-CL"/>
              </w:rPr>
            </w:pPr>
            <w:r>
              <w:rPr>
                <w:rFonts w:ascii="Calibri" w:hAnsi="Calibri"/>
                <w:b w:val="0"/>
                <w:i w:val="0"/>
                <w:color w:val="1B2433"/>
                <w:sz w:val="21"/>
              </w:rPr>
              <w:t>También se detectó una deuda técnica al documentar el modelo de datos: el motor tributario calcula los saldos desde el comprobante de apertura y no desde los comprobantes del período, de modo que existen dos fuentes de saldos que aún no se unifican.</w:t>
            </w: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