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charts/chart1.xml" ContentType="application/vnd.openxmlformats-officedocument.drawingml.chart+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Tarea 1</w:t>
      </w:r>
    </w:p>
    <w:p>
      <w:pPr>
        <w:pStyle w:val="Normal"/>
        <w:rPr/>
      </w:pPr>
      <w:r>
        <w:rPr/>
      </w:r>
    </w:p>
    <w:p>
      <w:pPr>
        <w:pStyle w:val="Normal"/>
        <w:rPr/>
      </w:pPr>
      <w:r>
        <w:rPr/>
        <w:t>Precio más alto USD/</w:t>
      </w:r>
      <w:r>
        <w:rPr/>
        <w:t xml:space="preserve">Kwh </w:t>
      </w:r>
      <w:r>
        <w:rPr/>
        <w:t>en el sector industrial en el mundo</w:t>
      </w:r>
      <w:r>
        <w:rPr/>
        <w:t>[2]</w:t>
      </w:r>
      <w:r>
        <w:rPr/>
        <w:t xml:space="preserve"> </w:t>
      </w:r>
      <w:r>
        <w:rPr/>
        <w:t>→ Alemania 0.33 [</w:t>
      </w:r>
      <w:r>
        <w:rPr/>
        <w:t>USD/</w:t>
      </w:r>
      <w:r>
        <w:rPr/>
        <w:t>Kwh]</w:t>
      </w:r>
    </w:p>
    <w:p>
      <w:pPr>
        <w:pStyle w:val="Normal"/>
        <w:rPr/>
      </w:pPr>
      <w:r>
        <w:rPr/>
      </w:r>
    </w:p>
    <w:p>
      <w:pPr>
        <w:pStyle w:val="Normal"/>
        <w:rPr/>
      </w:pPr>
      <w:r>
        <w:rPr/>
        <w:t>Precio mas bajo USD/KWh en el sector industrial en el mundo</w:t>
      </w:r>
      <w:r>
        <w:rPr/>
        <w:t>[2]</w:t>
      </w:r>
      <w:r>
        <w:rPr/>
        <w:t xml:space="preserve"> </w:t>
      </w:r>
      <w:r>
        <w:rPr/>
        <w:t>→ India 0.08  [</w:t>
      </w:r>
      <w:r>
        <w:rPr/>
        <w:t>USD/</w:t>
      </w:r>
      <w:r>
        <w:rPr/>
        <w:t>Kwh]</w:t>
      </w:r>
    </w:p>
    <w:p>
      <w:pPr>
        <w:pStyle w:val="Normal"/>
        <w:rPr/>
      </w:pPr>
      <w:r>
        <w:rPr/>
      </w:r>
    </w:p>
    <w:p>
      <w:pPr>
        <w:pStyle w:val="Normal"/>
        <w:rPr/>
      </w:pPr>
      <w:r>
        <w:rPr/>
      </w:r>
    </w:p>
    <w:p>
      <w:pPr>
        <w:pStyle w:val="Normal"/>
        <w:jc w:val="center"/>
        <w:rPr/>
      </w:pPr>
      <w:r>
        <w:rPr/>
        <w:t>Precio más alto MXN/KWh en el sector industrial en México.[1]</w:t>
      </w:r>
    </w:p>
    <w:p>
      <w:pPr>
        <w:pStyle w:val="Normal"/>
        <w:rPr/>
      </w:pPr>
      <w:r>
        <w:rPr/>
      </w:r>
    </w:p>
    <w:tbl>
      <w:tblPr>
        <w:tblW w:w="1923" w:type="dxa"/>
        <w:jc w:val="center"/>
        <w:tblInd w:w="0" w:type="dxa"/>
        <w:tblBorders/>
        <w:tblCellMar>
          <w:top w:w="28" w:type="dxa"/>
          <w:left w:w="28" w:type="dxa"/>
          <w:bottom w:w="28" w:type="dxa"/>
          <w:right w:w="28" w:type="dxa"/>
        </w:tblCellMar>
      </w:tblPr>
      <w:tblGrid>
        <w:gridCol w:w="1923"/>
      </w:tblGrid>
      <w:tr>
        <w:trPr/>
        <w:tc>
          <w:tcPr>
            <w:tcW w:w="1923" w:type="dxa"/>
            <w:tcBorders/>
            <w:shd w:fill="auto" w:val="clear"/>
            <w:vAlign w:val="center"/>
          </w:tcPr>
          <w:p>
            <w:pPr>
              <w:pStyle w:val="Contenidodelatabla"/>
              <w:rPr/>
            </w:pPr>
            <w:bookmarkStart w:id="0" w:name="Table51"/>
            <w:bookmarkEnd w:id="0"/>
            <w:r>
              <w:rPr/>
              <w:t xml:space="preserve">Tarifa H-M </w:t>
            </w:r>
          </w:p>
          <w:tbl>
            <w:tblPr>
              <w:tblW w:w="5000" w:type="pct"/>
              <w:jc w:val="left"/>
              <w:tblInd w:w="0" w:type="dxa"/>
              <w:tblBorders>
                <w:top w:val="double" w:sz="2" w:space="0" w:color="808080"/>
                <w:left w:val="double" w:sz="2" w:space="0" w:color="808080"/>
                <w:bottom w:val="double" w:sz="2" w:space="0" w:color="808080"/>
                <w:insideH w:val="double" w:sz="2" w:space="0" w:color="808080"/>
              </w:tblBorders>
              <w:tblCellMar>
                <w:top w:w="28" w:type="dxa"/>
                <w:left w:w="27" w:type="dxa"/>
                <w:bottom w:w="28" w:type="dxa"/>
                <w:right w:w="28" w:type="dxa"/>
              </w:tblCellMar>
            </w:tblPr>
            <w:tblGrid>
              <w:gridCol w:w="837"/>
              <w:gridCol w:w="1031"/>
            </w:tblGrid>
            <w:tr>
              <w:trPr/>
              <w:tc>
                <w:tcPr>
                  <w:tcW w:w="837"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Contenidodelatabla"/>
                    <w:rPr>
                      <w:sz w:val="4"/>
                      <w:szCs w:val="4"/>
                    </w:rPr>
                  </w:pPr>
                  <w:r>
                    <w:rPr>
                      <w:sz w:val="4"/>
                      <w:szCs w:val="4"/>
                    </w:rPr>
                  </w:r>
                </w:p>
              </w:tc>
              <w:tc>
                <w:tcPr>
                  <w:tcW w:w="1031" w:type="dxa"/>
                  <w:gridSpan w:val="13"/>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Contenidodelatabla"/>
                    <w:rPr>
                      <w:sz w:val="4"/>
                      <w:szCs w:val="4"/>
                    </w:rPr>
                  </w:pPr>
                  <w:r>
                    <w:rPr>
                      <w:sz w:val="4"/>
                      <w:szCs w:val="4"/>
                    </w:rPr>
                  </w:r>
                </w:p>
              </w:tc>
            </w:tr>
            <w:tr>
              <w:trPr/>
              <w:tc>
                <w:tcPr>
                  <w:tcW w:w="1868" w:type="dxa"/>
                  <w:gridSpan w:val="14"/>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tulodelatabla"/>
                    <w:rPr/>
                  </w:pPr>
                  <w:r>
                    <w:rPr/>
                    <w:t xml:space="preserve">Baja California </w:t>
                  </w:r>
                </w:p>
              </w:tc>
            </w:tr>
          </w:tbl>
          <w:p>
            <w:pPr>
              <w:pStyle w:val="Contenidodelatabla"/>
              <w:rPr/>
            </w:pPr>
            <w:r>
              <w:rPr/>
            </w:r>
          </w:p>
        </w:tc>
      </w:tr>
      <w:tr>
        <w:trPr/>
        <w:tc>
          <w:tcPr>
            <w:tcW w:w="1923" w:type="dxa"/>
            <w:tcBorders/>
            <w:shd w:fill="auto" w:val="clear"/>
            <w:vAlign w:val="center"/>
          </w:tcPr>
          <w:p>
            <w:pPr>
              <w:pStyle w:val="Contenidodelatabla"/>
              <w:rPr>
                <w:sz w:val="4"/>
                <w:szCs w:val="4"/>
              </w:rPr>
            </w:pPr>
            <w:r>
              <w:rPr>
                <w:sz w:val="4"/>
                <w:szCs w:val="4"/>
              </w:rPr>
            </w:r>
          </w:p>
        </w:tc>
      </w:tr>
    </w:tbl>
    <w:p>
      <w:pPr>
        <w:pStyle w:val="Normal"/>
        <w:rPr/>
      </w:pPr>
      <w:bookmarkStart w:id="1" w:name="Table5"/>
      <w:bookmarkEnd w:id="1"/>
      <w:r>
        <w:rPr/>
        <w:t xml:space="preserve"> </w:t>
      </w:r>
    </w:p>
    <w:tbl>
      <w:tblPr>
        <w:tblW w:w="5000" w:type="pct"/>
        <w:jc w:val="left"/>
        <w:tblInd w:w="28" w:type="dxa"/>
        <w:tblBorders>
          <w:top w:val="double" w:sz="2" w:space="0" w:color="808080"/>
          <w:left w:val="double" w:sz="2" w:space="0" w:color="808080"/>
          <w:bottom w:val="double" w:sz="2" w:space="0" w:color="808080"/>
          <w:insideH w:val="double" w:sz="2" w:space="0" w:color="808080"/>
        </w:tblBorders>
        <w:tblCellMar>
          <w:top w:w="28" w:type="dxa"/>
          <w:left w:w="27" w:type="dxa"/>
          <w:bottom w:w="28" w:type="dxa"/>
          <w:right w:w="28" w:type="dxa"/>
        </w:tblCellMar>
      </w:tblPr>
      <w:tblGrid>
        <w:gridCol w:w="7168"/>
        <w:gridCol w:w="2349"/>
        <w:gridCol w:w="454"/>
      </w:tblGrid>
      <w:tr>
        <w:trPr/>
        <w:tc>
          <w:tcPr>
            <w:tcW w:w="7168"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Contenidodelatabla"/>
              <w:rPr/>
            </w:pPr>
            <w:r>
              <w:rPr/>
              <w:t>Energía Punta ($/kWh)</w:t>
            </w:r>
          </w:p>
        </w:tc>
        <w:tc>
          <w:tcPr>
            <w:tcW w:w="2349"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Contenidodelatabla"/>
              <w:rPr/>
            </w:pPr>
            <w:r>
              <w:rPr/>
              <w:t>2.1957</w:t>
            </w:r>
          </w:p>
        </w:tc>
        <w:tc>
          <w:tcPr>
            <w:tcW w:w="454"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Contenidodelatabla"/>
              <w:rPr>
                <w:sz w:val="4"/>
                <w:szCs w:val="4"/>
              </w:rPr>
            </w:pPr>
            <w:r>
              <w:rPr>
                <w:sz w:val="4"/>
                <w:szCs w:val="4"/>
              </w:rPr>
            </w:r>
          </w:p>
        </w:tc>
      </w:tr>
    </w:tbl>
    <w:p>
      <w:pPr>
        <w:pStyle w:val="Normal"/>
        <w:rPr/>
      </w:pPr>
      <w:r>
        <w:rPr/>
      </w:r>
    </w:p>
    <w:p>
      <w:pPr>
        <w:pStyle w:val="Normal"/>
        <w:rPr/>
      </w:pPr>
      <w:bookmarkStart w:id="2" w:name="Table54"/>
      <w:bookmarkEnd w:id="2"/>
      <w:r>
        <w:rPr/>
        <w:t xml:space="preserve"> </w:t>
      </w:r>
    </w:p>
    <w:tbl>
      <w:tblPr>
        <w:tblW w:w="5000" w:type="pct"/>
        <w:jc w:val="left"/>
        <w:tblInd w:w="28" w:type="dxa"/>
        <w:tblBorders>
          <w:top w:val="double" w:sz="2" w:space="0" w:color="808080"/>
          <w:left w:val="double" w:sz="2" w:space="0" w:color="808080"/>
          <w:bottom w:val="double" w:sz="2" w:space="0" w:color="808080"/>
          <w:insideH w:val="double" w:sz="2" w:space="0" w:color="808080"/>
        </w:tblBorders>
        <w:tblCellMar>
          <w:top w:w="28" w:type="dxa"/>
          <w:left w:w="27" w:type="dxa"/>
          <w:bottom w:w="28" w:type="dxa"/>
          <w:right w:w="28" w:type="dxa"/>
        </w:tblCellMar>
      </w:tblPr>
      <w:tblGrid>
        <w:gridCol w:w="7168"/>
        <w:gridCol w:w="2349"/>
        <w:gridCol w:w="454"/>
      </w:tblGrid>
      <w:tr>
        <w:trPr/>
        <w:tc>
          <w:tcPr>
            <w:tcW w:w="7168"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Contenidodelatabla"/>
              <w:rPr/>
            </w:pPr>
            <w:r>
              <w:rPr/>
              <w:t>Energía Punta (</w:t>
            </w:r>
            <w:r>
              <w:rPr/>
              <w:t>USD</w:t>
            </w:r>
            <w:r>
              <w:rPr/>
              <w:t>/kWh)</w:t>
            </w:r>
          </w:p>
        </w:tc>
        <w:tc>
          <w:tcPr>
            <w:tcW w:w="2349"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Contenidodelatabla"/>
              <w:rPr/>
            </w:pPr>
            <w:r>
              <w:rPr/>
              <w:t>0.11</w:t>
            </w:r>
          </w:p>
        </w:tc>
        <w:tc>
          <w:tcPr>
            <w:tcW w:w="454"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Contenidodelatabla"/>
              <w:rPr>
                <w:sz w:val="4"/>
                <w:szCs w:val="4"/>
              </w:rPr>
            </w:pPr>
            <w:r>
              <w:rPr>
                <w:sz w:val="4"/>
                <w:szCs w:val="4"/>
              </w:rPr>
            </w:r>
          </w:p>
        </w:tc>
      </w:tr>
    </w:tbl>
    <w:p>
      <w:pPr>
        <w:pStyle w:val="Normal"/>
        <w:rPr/>
      </w:pPr>
      <w:r>
        <w:rPr/>
      </w:r>
    </w:p>
    <w:p>
      <w:pPr>
        <w:pStyle w:val="Normal"/>
        <w:jc w:val="center"/>
        <w:rPr/>
      </w:pPr>
      <w:r>
        <w:rPr/>
        <w:t xml:space="preserve">Precio mas bajo </w:t>
      </w:r>
      <w:r>
        <w:rPr/>
        <w:t>MXN</w:t>
      </w:r>
      <w:r>
        <w:rPr/>
        <w:t>/KWh en el sector industrial en México</w:t>
      </w:r>
      <w:r>
        <w:rPr/>
        <w:t>[1]</w:t>
      </w:r>
    </w:p>
    <w:p>
      <w:pPr>
        <w:pStyle w:val="Normal"/>
        <w:rPr/>
      </w:pPr>
      <w:r>
        <w:rPr/>
      </w:r>
    </w:p>
    <w:p>
      <w:pPr>
        <w:pStyle w:val="Normal"/>
        <w:rPr/>
      </w:pPr>
      <w:r>
        <w:rPr/>
      </w:r>
    </w:p>
    <w:tbl>
      <w:tblPr>
        <w:tblW w:w="1868" w:type="dxa"/>
        <w:jc w:val="center"/>
        <w:tblInd w:w="0" w:type="dxa"/>
        <w:tblBorders/>
        <w:tblCellMar>
          <w:top w:w="28" w:type="dxa"/>
          <w:left w:w="28" w:type="dxa"/>
          <w:bottom w:w="28" w:type="dxa"/>
          <w:right w:w="28" w:type="dxa"/>
        </w:tblCellMar>
      </w:tblPr>
      <w:tblGrid>
        <w:gridCol w:w="1868"/>
      </w:tblGrid>
      <w:tr>
        <w:trPr/>
        <w:tc>
          <w:tcPr>
            <w:tcW w:w="1868" w:type="dxa"/>
            <w:tcBorders/>
            <w:shd w:fill="auto" w:val="clear"/>
            <w:vAlign w:val="center"/>
          </w:tcPr>
          <w:p>
            <w:pPr>
              <w:pStyle w:val="Contenidodelatabla"/>
              <w:rPr/>
            </w:pPr>
            <w:bookmarkStart w:id="3" w:name="Table53"/>
            <w:bookmarkEnd w:id="3"/>
            <w:r>
              <w:rPr/>
              <w:t xml:space="preserve">Tarifa H-M </w:t>
            </w:r>
          </w:p>
          <w:tbl>
            <w:tblPr>
              <w:tblW w:w="5000" w:type="pct"/>
              <w:jc w:val="left"/>
              <w:tblInd w:w="0" w:type="dxa"/>
              <w:tblBorders>
                <w:top w:val="double" w:sz="2" w:space="0" w:color="808080"/>
                <w:left w:val="double" w:sz="2" w:space="0" w:color="808080"/>
                <w:bottom w:val="double" w:sz="2" w:space="0" w:color="808080"/>
                <w:insideH w:val="double" w:sz="2" w:space="0" w:color="808080"/>
              </w:tblBorders>
              <w:tblCellMar>
                <w:top w:w="28" w:type="dxa"/>
                <w:left w:w="27" w:type="dxa"/>
                <w:bottom w:w="28" w:type="dxa"/>
                <w:right w:w="28" w:type="dxa"/>
              </w:tblCellMar>
            </w:tblPr>
            <w:tblGrid>
              <w:gridCol w:w="812"/>
              <w:gridCol w:w="1000"/>
            </w:tblGrid>
            <w:tr>
              <w:trPr/>
              <w:tc>
                <w:tcPr>
                  <w:tcW w:w="812"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Contenidodelatabla"/>
                    <w:rPr>
                      <w:sz w:val="4"/>
                      <w:szCs w:val="4"/>
                    </w:rPr>
                  </w:pPr>
                  <w:r>
                    <w:rPr>
                      <w:sz w:val="4"/>
                      <w:szCs w:val="4"/>
                    </w:rPr>
                  </w:r>
                </w:p>
              </w:tc>
              <w:tc>
                <w:tcPr>
                  <w:tcW w:w="1000" w:type="dxa"/>
                  <w:gridSpan w:val="13"/>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Contenidodelatabla"/>
                    <w:rPr>
                      <w:sz w:val="4"/>
                      <w:szCs w:val="4"/>
                    </w:rPr>
                  </w:pPr>
                  <w:r>
                    <w:rPr>
                      <w:sz w:val="4"/>
                      <w:szCs w:val="4"/>
                    </w:rPr>
                  </w:r>
                </w:p>
              </w:tc>
            </w:tr>
            <w:tr>
              <w:trPr/>
              <w:tc>
                <w:tcPr>
                  <w:tcW w:w="1812" w:type="dxa"/>
                  <w:gridSpan w:val="14"/>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tulodelatabla"/>
                    <w:rPr/>
                  </w:pPr>
                  <w:r>
                    <w:rPr/>
                    <w:t>Baja California</w:t>
                  </w:r>
                </w:p>
              </w:tc>
            </w:tr>
          </w:tbl>
          <w:p>
            <w:pPr>
              <w:pStyle w:val="Contenidodelatabla"/>
              <w:rPr/>
            </w:pPr>
            <w:r>
              <w:rPr/>
            </w:r>
          </w:p>
        </w:tc>
      </w:tr>
      <w:tr>
        <w:trPr/>
        <w:tc>
          <w:tcPr>
            <w:tcW w:w="1868" w:type="dxa"/>
            <w:tcBorders/>
            <w:shd w:fill="auto" w:val="clear"/>
            <w:vAlign w:val="center"/>
          </w:tcPr>
          <w:p>
            <w:pPr>
              <w:pStyle w:val="Contenidodelatabla"/>
              <w:rPr>
                <w:sz w:val="4"/>
                <w:szCs w:val="4"/>
              </w:rPr>
            </w:pPr>
            <w:r>
              <w:rPr>
                <w:sz w:val="4"/>
                <w:szCs w:val="4"/>
              </w:rPr>
            </w:r>
          </w:p>
        </w:tc>
      </w:tr>
      <w:tr>
        <w:trPr/>
        <w:tc>
          <w:tcPr>
            <w:tcW w:w="1868" w:type="dxa"/>
            <w:tcBorders/>
            <w:shd w:fill="auto" w:val="clear"/>
            <w:vAlign w:val="center"/>
          </w:tcPr>
          <w:p>
            <w:pPr>
              <w:pStyle w:val="Contenidodelatabla"/>
              <w:rPr>
                <w:sz w:val="4"/>
                <w:szCs w:val="4"/>
              </w:rPr>
            </w:pPr>
            <w:r>
              <w:rPr>
                <w:sz w:val="4"/>
                <w:szCs w:val="4"/>
              </w:rPr>
            </w:r>
          </w:p>
        </w:tc>
      </w:tr>
    </w:tbl>
    <w:p>
      <w:pPr>
        <w:pStyle w:val="Normal"/>
        <w:rPr/>
      </w:pPr>
      <w:bookmarkStart w:id="4" w:name="Table52"/>
      <w:bookmarkStart w:id="5" w:name="Table52"/>
      <w:bookmarkEnd w:id="5"/>
      <w:r>
        <w:rPr/>
      </w:r>
    </w:p>
    <w:tbl>
      <w:tblPr>
        <w:tblW w:w="5000" w:type="pct"/>
        <w:jc w:val="left"/>
        <w:tblInd w:w="28" w:type="dxa"/>
        <w:tblBorders>
          <w:top w:val="double" w:sz="2" w:space="0" w:color="808080"/>
          <w:left w:val="double" w:sz="2" w:space="0" w:color="808080"/>
          <w:bottom w:val="double" w:sz="2" w:space="0" w:color="808080"/>
          <w:insideH w:val="double" w:sz="2" w:space="0" w:color="808080"/>
        </w:tblBorders>
        <w:tblCellMar>
          <w:top w:w="28" w:type="dxa"/>
          <w:left w:w="27" w:type="dxa"/>
          <w:bottom w:w="28" w:type="dxa"/>
          <w:right w:w="28" w:type="dxa"/>
        </w:tblCellMar>
      </w:tblPr>
      <w:tblGrid>
        <w:gridCol w:w="7343"/>
        <w:gridCol w:w="2628"/>
      </w:tblGrid>
      <w:tr>
        <w:trPr/>
        <w:tc>
          <w:tcPr>
            <w:tcW w:w="7343"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Contenidodelatabla"/>
              <w:rPr/>
            </w:pPr>
            <w:r>
              <w:rPr/>
              <w:t>Energía Base ($/kWh)</w:t>
            </w:r>
          </w:p>
        </w:tc>
        <w:tc>
          <w:tcPr>
            <w:tcW w:w="2628"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Contenidodelatabla"/>
              <w:rPr/>
            </w:pPr>
            <w:r>
              <w:rPr/>
              <w:t>0.9223</w:t>
            </w:r>
          </w:p>
        </w:tc>
      </w:tr>
    </w:tbl>
    <w:p>
      <w:pPr>
        <w:pStyle w:val="Normal"/>
        <w:rPr/>
      </w:pPr>
      <w:r>
        <w:rPr/>
      </w:r>
    </w:p>
    <w:tbl>
      <w:tblPr>
        <w:tblW w:w="5000" w:type="pct"/>
        <w:jc w:val="left"/>
        <w:tblInd w:w="28" w:type="dxa"/>
        <w:tblBorders>
          <w:top w:val="double" w:sz="2" w:space="0" w:color="808080"/>
          <w:left w:val="double" w:sz="2" w:space="0" w:color="808080"/>
          <w:bottom w:val="double" w:sz="2" w:space="0" w:color="808080"/>
          <w:insideH w:val="double" w:sz="2" w:space="0" w:color="808080"/>
        </w:tblBorders>
        <w:tblCellMar>
          <w:top w:w="28" w:type="dxa"/>
          <w:left w:w="27" w:type="dxa"/>
          <w:bottom w:w="28" w:type="dxa"/>
          <w:right w:w="28" w:type="dxa"/>
        </w:tblCellMar>
      </w:tblPr>
      <w:tblGrid>
        <w:gridCol w:w="7343"/>
        <w:gridCol w:w="2628"/>
      </w:tblGrid>
      <w:tr>
        <w:trPr/>
        <w:tc>
          <w:tcPr>
            <w:tcW w:w="7343"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Contenidodelatabla"/>
              <w:rPr/>
            </w:pPr>
            <w:r>
              <w:rPr/>
              <w:t>Energía Base (</w:t>
            </w:r>
            <w:r>
              <w:rPr/>
              <w:t>USD</w:t>
            </w:r>
            <w:r>
              <w:rPr/>
              <w:t>/kWh)</w:t>
            </w:r>
          </w:p>
        </w:tc>
        <w:tc>
          <w:tcPr>
            <w:tcW w:w="2628"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Contenidodelatabla"/>
              <w:rPr/>
            </w:pPr>
            <w:r>
              <w:rPr/>
              <w:t>0.</w:t>
            </w:r>
            <w:r>
              <w:rPr/>
              <w:t>05</w:t>
            </w:r>
          </w:p>
        </w:tc>
      </w:tr>
    </w:tbl>
    <w:p>
      <w:pPr>
        <w:pStyle w:val="Normal"/>
        <w:rPr/>
      </w:pPr>
      <w:r>
        <w:rPr/>
      </w:r>
    </w:p>
    <w:p>
      <w:pPr>
        <w:pStyle w:val="Normal"/>
        <w:rPr/>
      </w:pPr>
      <w:r>
        <w:rPr/>
      </w:r>
    </w:p>
    <w:p>
      <w:pPr>
        <w:pStyle w:val="Normal"/>
        <w:rPr/>
      </w:pPr>
      <w:r>
        <w:rPr/>
      </w:r>
    </w:p>
    <w:p>
      <w:pPr>
        <w:pStyle w:val="Normal"/>
        <w:rPr/>
      </w:pPr>
      <w:r>
        <w:rPr/>
        <w:drawing>
          <wp:inline distT="0" distB="0" distL="0" distR="0">
            <wp:extent cx="5753735" cy="3237865"/>
            <wp:effectExtent l="0" t="0" r="0" b="0"/>
            <wp:docPr id="1" name="Objeto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pPr>
      <w:r>
        <w:rPr/>
      </w:r>
    </w:p>
    <w:p>
      <w:pPr>
        <w:pStyle w:val="Normal"/>
        <w:rPr/>
      </w:pPr>
      <w:r>
        <w:rPr/>
      </w:r>
    </w:p>
    <w:p>
      <w:pPr>
        <w:pStyle w:val="Normal"/>
        <w:jc w:val="center"/>
        <w:rPr/>
      </w:pPr>
      <w:r>
        <w:rPr/>
        <w:t>Tarea 2</w:t>
      </w:r>
    </w:p>
    <w:p>
      <w:pPr>
        <w:pStyle w:val="Normal"/>
        <w:rPr/>
      </w:pPr>
      <w:r>
        <w:rPr/>
      </w:r>
    </w:p>
    <w:p>
      <w:pPr>
        <w:pStyle w:val="Normal"/>
        <w:rPr/>
      </w:pPr>
      <w:r>
        <w:rPr/>
        <w:t>Nota: el precio promedio del gas natural es 13USD por millon de BTU</w:t>
      </w:r>
    </w:p>
    <w:p>
      <w:pPr>
        <w:pStyle w:val="Normal"/>
        <w:rPr/>
      </w:pPr>
      <w:r>
        <w:rPr/>
      </w:r>
    </w:p>
    <w:p>
      <w:pPr>
        <w:pStyle w:val="Normal"/>
        <w:rPr/>
      </w:pPr>
      <w:r>
        <w:rPr/>
        <w:t>¿Porque el precio del gas natural en la industria es bajo?</w:t>
      </w:r>
    </w:p>
    <w:p>
      <w:pPr>
        <w:pStyle w:val="Normal"/>
        <w:jc w:val="both"/>
        <w:rPr/>
      </w:pPr>
      <w:r>
        <w:rPr/>
      </w:r>
    </w:p>
    <w:p>
      <w:pPr>
        <w:pStyle w:val="Normal"/>
        <w:jc w:val="both"/>
        <w:rPr/>
      </w:pPr>
      <w:r>
        <w:rPr/>
        <w:t xml:space="preserve">El documento publicado por la Comisión Nacional de Hidrocarburos (CNH) explica que en Estados Unidos el sector de gas natural se considera el más desarrollado y maduro en su operación a escala mundial, pasando de 71.4 miles de millones de pies cúbicos al día (MMMpcd) en 2009 a 90.9 MMMpcd en 2017. </w:t>
      </w:r>
    </w:p>
    <w:p>
      <w:pPr>
        <w:pStyle w:val="Normal"/>
        <w:jc w:val="both"/>
        <w:rPr/>
      </w:pPr>
      <w:r>
        <w:rPr/>
      </w:r>
    </w:p>
    <w:p>
      <w:pPr>
        <w:pStyle w:val="Normal"/>
        <w:jc w:val="both"/>
        <w:rPr/>
      </w:pPr>
      <w:r>
        <w:rPr/>
        <w:t xml:space="preserve">Este incremento de 27.3 por ciento derivó principalmente del aumento de la producción de gas natural proveniente de yacimientos no convencionales. </w:t>
      </w:r>
      <w:r>
        <w:rPr/>
        <w:t>[...]</w:t>
      </w:r>
    </w:p>
    <w:p>
      <w:pPr>
        <w:pStyle w:val="Normal"/>
        <w:jc w:val="both"/>
        <w:rPr/>
      </w:pPr>
      <w:r>
        <w:rPr/>
      </w:r>
    </w:p>
    <w:p>
      <w:pPr>
        <w:pStyle w:val="Normal"/>
        <w:jc w:val="both"/>
        <w:rPr/>
      </w:pPr>
      <w:r>
        <w:rPr/>
        <w:t>El director general de Gas Natural y Petroquímica de la Secretaría de Energía, David Rosales, dijo que para cumplir con los objetivos de crecimiento en la producción de gas, México tiene que usar técnicas no convencionales como el fracking para alcanzar las curvas previstas y no seguir con los mismos niveles o en caída.</w:t>
      </w:r>
      <w:r>
        <w:rPr/>
        <w:t>[3]</w:t>
      </w:r>
      <w:r>
        <w:rPr/>
        <w:t xml:space="preserve"> </w:t>
      </w:r>
    </w:p>
    <w:p>
      <w:pPr>
        <w:pStyle w:val="Normal"/>
        <w:jc w:val="both"/>
        <w:rPr/>
      </w:pPr>
      <w:r>
        <w:rPr/>
      </w:r>
    </w:p>
    <w:p>
      <w:pPr>
        <w:pStyle w:val="Normal"/>
        <w:rPr/>
      </w:pPr>
      <w:r>
        <w:rPr/>
      </w:r>
    </w:p>
    <w:p>
      <w:pPr>
        <w:pStyle w:val="Normal"/>
        <w:jc w:val="center"/>
        <w:rPr/>
      </w:pPr>
      <w:r>
        <w:rPr/>
        <w:t>Tarea 3</w:t>
      </w:r>
    </w:p>
    <w:p>
      <w:pPr>
        <w:pStyle w:val="Normal"/>
        <w:rPr/>
      </w:pPr>
      <w:r>
        <w:rPr/>
      </w:r>
    </w:p>
    <w:p>
      <w:pPr>
        <w:pStyle w:val="Normal"/>
        <w:rPr/>
      </w:pPr>
      <w:r>
        <w:rPr/>
        <w:t xml:space="preserve">¿Porque el sistema ferroviario a decrecido en </w:t>
      </w:r>
      <w:r>
        <w:rPr>
          <w:u w:val="none"/>
        </w:rPr>
        <w:t>México</w:t>
      </w:r>
      <w:r>
        <w:rPr/>
        <w:t>?</w:t>
      </w:r>
    </w:p>
    <w:p>
      <w:pPr>
        <w:pStyle w:val="Normal"/>
        <w:rPr>
          <w:b w:val="false"/>
          <w:b w:val="false"/>
          <w:bCs w:val="false"/>
          <w:i w:val="false"/>
          <w:i w:val="false"/>
          <w:iCs w:val="false"/>
          <w:color w:val="auto"/>
          <w:u w:val="none"/>
        </w:rPr>
      </w:pPr>
      <w:r>
        <w:rPr>
          <w:b w:val="false"/>
          <w:bCs w:val="false"/>
          <w:i w:val="false"/>
          <w:iCs w:val="false"/>
          <w:color w:val="auto"/>
          <w:u w:val="none"/>
        </w:rPr>
      </w:r>
    </w:p>
    <w:p>
      <w:pPr>
        <w:pStyle w:val="Cuerpodetexto"/>
        <w:jc w:val="both"/>
        <w:rPr/>
      </w:pPr>
      <w:r>
        <w:rPr>
          <w:b w:val="false"/>
          <w:bCs w:val="false"/>
          <w:i w:val="false"/>
          <w:iCs w:val="false"/>
          <w:color w:val="auto"/>
          <w:u w:val="none"/>
        </w:rPr>
        <w:t xml:space="preserve">El sistema ferroviario sufrió gran deterioro durante el período de la </w:t>
      </w:r>
      <w:r>
        <w:rPr>
          <w:b w:val="false"/>
          <w:bCs w:val="false"/>
          <w:i w:val="false"/>
          <w:iCs w:val="false"/>
          <w:color w:val="auto"/>
          <w:u w:val="none"/>
        </w:rPr>
        <w:t>Revolución</w:t>
      </w:r>
      <w:r>
        <w:rPr>
          <w:b w:val="false"/>
          <w:bCs w:val="false"/>
          <w:i w:val="false"/>
          <w:iCs w:val="false"/>
          <w:color w:val="auto"/>
          <w:u w:val="none"/>
        </w:rPr>
        <w:t xml:space="preserve">, a causa de su abandono y falta de mantenimiento. Durante los años posteriores a la época de nacionalización de los ferrocarriles en México habrían surgido ciertas dificultades financieras, principalmente a causa de la corrupción y el desvío de fondos; presumiblemente desde 1946​ durante la presidencia de </w:t>
      </w:r>
      <w:r>
        <w:rPr>
          <w:b w:val="false"/>
          <w:bCs w:val="false"/>
          <w:i w:val="false"/>
          <w:iCs w:val="false"/>
          <w:color w:val="auto"/>
          <w:u w:val="none"/>
        </w:rPr>
        <w:t>Miguel Alemán Valdés</w:t>
      </w:r>
      <w:r>
        <w:rPr>
          <w:b w:val="false"/>
          <w:bCs w:val="false"/>
          <w:i w:val="false"/>
          <w:iCs w:val="false"/>
          <w:color w:val="auto"/>
          <w:u w:val="none"/>
        </w:rPr>
        <w:t xml:space="preserve">. La paraestatal </w:t>
      </w:r>
      <w:r>
        <w:rPr>
          <w:b w:val="false"/>
          <w:bCs w:val="false"/>
          <w:i w:val="false"/>
          <w:iCs w:val="false"/>
          <w:color w:val="auto"/>
          <w:u w:val="none"/>
        </w:rPr>
        <w:t>Ferronales</w:t>
      </w:r>
      <w:r>
        <w:rPr>
          <w:b w:val="false"/>
          <w:bCs w:val="false"/>
          <w:i w:val="false"/>
          <w:iCs w:val="false"/>
          <w:color w:val="auto"/>
          <w:u w:val="none"/>
        </w:rPr>
        <w:t xml:space="preserve"> habría acumulado un déficit operativo de $552 millones de dólares (37 % de su presupuesto de funcionamiento) hacia 1991; no obstante, el presidente </w:t>
      </w:r>
      <w:r>
        <w:rPr>
          <w:b w:val="false"/>
          <w:bCs w:val="false"/>
          <w:i w:val="false"/>
          <w:iCs w:val="false"/>
          <w:color w:val="auto"/>
          <w:u w:val="none"/>
        </w:rPr>
        <w:t>Salinas</w:t>
      </w:r>
      <w:r>
        <w:rPr>
          <w:b w:val="false"/>
          <w:bCs w:val="false"/>
          <w:i w:val="false"/>
          <w:iCs w:val="false"/>
          <w:color w:val="auto"/>
          <w:u w:val="none"/>
        </w:rPr>
        <w:t xml:space="preserve"> fue el último en apoyar a la paratestatal mediante la construcción desde 1989 del </w:t>
      </w:r>
      <w:r>
        <w:rPr>
          <w:b w:val="false"/>
          <w:bCs w:val="false"/>
          <w:i w:val="false"/>
          <w:iCs w:val="false"/>
          <w:color w:val="auto"/>
          <w:u w:val="none"/>
        </w:rPr>
        <w:t>Tren Eléctrico de Pasajeros México Querétaro</w:t>
      </w:r>
      <w:r>
        <w:rPr>
          <w:b w:val="false"/>
          <w:bCs w:val="false"/>
          <w:i w:val="false"/>
          <w:iCs w:val="false"/>
          <w:color w:val="auto"/>
          <w:u w:val="none"/>
        </w:rPr>
        <w:t xml:space="preserve"> y hasta su puesta en servicio durante el último año de presidencia salinista (1994). La competencia con otros modos de transporte de carga, tales como los camiones por carretera y los buques por mar, disminuyó la cuota de transporte ferroviario, principalmente de carga pesada, en alrededor del 9 % aproximadamente la mitad de la cuota que tenía la paraestatal una década antes. </w:t>
      </w:r>
    </w:p>
    <w:p>
      <w:pPr>
        <w:pStyle w:val="Normal"/>
        <w:jc w:val="center"/>
        <w:rPr/>
      </w:pPr>
      <w:r>
        <w:rPr/>
        <w:t>Tarea 4</w:t>
      </w:r>
    </w:p>
    <w:p>
      <w:pPr>
        <w:pStyle w:val="Normal"/>
        <w:rPr/>
      </w:pPr>
      <w:r>
        <w:rPr/>
      </w:r>
    </w:p>
    <w:p>
      <w:pPr>
        <w:pStyle w:val="Normal"/>
        <w:rPr/>
      </w:pPr>
      <w:r>
        <w:rPr/>
        <w:t>¿</w:t>
      </w:r>
      <w:r>
        <w:rPr/>
        <w:t>Qué es es ITDP?</w:t>
      </w:r>
    </w:p>
    <w:p>
      <w:pPr>
        <w:pStyle w:val="Normal"/>
        <w:jc w:val="both"/>
        <w:rPr/>
      </w:pPr>
      <w:r>
        <w:rPr/>
      </w:r>
    </w:p>
    <w:p>
      <w:pPr>
        <w:pStyle w:val="Normal"/>
        <w:jc w:val="both"/>
        <w:rPr/>
      </w:pPr>
      <w:r>
        <w:rPr/>
        <w:t>El Instituto de Políticas de Transporte y Desarrollo trabaja en todo el mundo para diseñar e implementar sistemas de transporte de alta calidad y soluciones de políticas que hagan que las ciudades sean más habitables, equitativas y sostenibles.</w:t>
      </w:r>
    </w:p>
    <w:p>
      <w:pPr>
        <w:pStyle w:val="Normal"/>
        <w:jc w:val="both"/>
        <w:rPr/>
      </w:pPr>
      <w:r>
        <w:rPr/>
      </w:r>
    </w:p>
    <w:p>
      <w:pPr>
        <w:pStyle w:val="Normal"/>
        <w:jc w:val="both"/>
        <w:rPr/>
      </w:pPr>
      <w:r>
        <w:rPr/>
        <w:t>ITDP es una organización mundial sin fines de lucro a la vanguardia de la innovación, que proporciona conocimientos técnicos para acelerar el crecimiento del transporte sostenible y el desarrollo urbano en todo el mundo. A través de nuestros proyectos de transporte, promoción de políticas y publicaciones de investigación, trabajamos para reducir las emisiones de carbono, mejorar la inclusión social y mejorar la calidad de vida de las personas en las ciudades.</w:t>
      </w:r>
      <w:r>
        <w:rPr/>
        <w:t>[4]</w:t>
      </w:r>
    </w:p>
    <w:p>
      <w:pPr>
        <w:pStyle w:val="Normal"/>
        <w:jc w:val="both"/>
        <w:rPr/>
      </w:pPr>
      <w:r>
        <w:rPr/>
      </w:r>
    </w:p>
    <w:p>
      <w:pPr>
        <w:pStyle w:val="Normal"/>
        <w:rPr/>
      </w:pPr>
      <w:r>
        <w:rPr/>
        <w:t>¿</w:t>
      </w:r>
      <w:r>
        <w:rPr/>
        <w:t>Qué es Conuee?</w:t>
      </w:r>
    </w:p>
    <w:p>
      <w:pPr>
        <w:pStyle w:val="Normal"/>
        <w:rPr/>
      </w:pPr>
      <w:r>
        <w:rPr/>
      </w:r>
    </w:p>
    <w:p>
      <w:pPr>
        <w:pStyle w:val="Normal"/>
        <w:rPr/>
      </w:pPr>
      <w:r>
        <w:rPr/>
        <w:t>La Comisión Nacional para el Uso Eficiente de la Energía (Conuee) es un órgano administrativo desconcentrado de la Secretaría de Energía, que fue creada a través de la Ley para el Aprovechamiento Sustentable de la Energía publicada en el Diario Oficial de la Federación el 28 de noviembre del 2008, y tiene como objetivo central promover la eficiencia energética y fungir como órgano técnico en materia de aprovechamiento sustentable de la energía.</w:t>
      </w:r>
      <w:r>
        <w:rPr/>
        <w:t>[5]</w:t>
      </w:r>
      <w:r>
        <w:rPr/>
        <w:br/>
      </w:r>
    </w:p>
    <w:p>
      <w:pPr>
        <w:pStyle w:val="Normal"/>
        <w:rPr/>
      </w:pPr>
      <w:r>
        <w:rPr/>
        <w:t>¿</w:t>
      </w:r>
      <w:r>
        <w:rPr/>
        <w:t>Qué es WRI?</w:t>
      </w:r>
    </w:p>
    <w:p>
      <w:pPr>
        <w:pStyle w:val="Normal"/>
        <w:rPr/>
      </w:pPr>
      <w:r>
        <w:rPr/>
      </w:r>
    </w:p>
    <w:p>
      <w:pPr>
        <w:pStyle w:val="Normal"/>
        <w:rPr/>
      </w:pPr>
      <w:r>
        <w:rPr/>
        <w:t>Para muchas personas de todo el mundo, las soluciones de energía limpia no son ni asequibles ni accesibles, incluso con el descenso del coste de las energías renovables. Y para muchos países, existen barreras para desplegar energía limpia con la suficiente rapidez como para cambiar la trayectoria de sus emisiones.</w:t>
      </w:r>
    </w:p>
    <w:p>
      <w:pPr>
        <w:pStyle w:val="Normal"/>
        <w:rPr/>
      </w:pPr>
      <w:r>
        <w:rPr/>
      </w:r>
    </w:p>
    <w:p>
      <w:pPr>
        <w:pStyle w:val="Normal"/>
        <w:rPr/>
      </w:pPr>
      <w:r>
        <w:rPr/>
        <w:t>Nos encontramos en una ventana de oportunidad en la que se requerirán importantes inversiones en energía. En los próximos 15 años, se espera que la energía represente casi el 30 por ciento de la inversión total en infraestructura básica, alrededor de 25 billones de dólares estadounidenses. Estas inversiones pueden ser diseñadas para proporcionar energía limpia, asequible y fiable a todas las personas.</w:t>
      </w:r>
    </w:p>
    <w:p>
      <w:pPr>
        <w:pStyle w:val="Normal"/>
        <w:rPr/>
      </w:pPr>
      <w:r>
        <w:rPr/>
      </w:r>
    </w:p>
    <w:p>
      <w:pPr>
        <w:pStyle w:val="Normal"/>
        <w:rPr/>
      </w:pPr>
      <w:r>
        <w:rPr/>
        <w:t>El cambio hacia un futuro energético inclusivo y bajo en carbono requiere (1) acelerar el ritmo de despliegue de la energía renovable; (2) aumentar la productividad energética, de modo que el uso de la energía difiera del crecimiento económico; y (3) abordar la brecha que está surgiendo entre los que tienen energía limpia y los que carecen de acceso básico.</w:t>
      </w:r>
    </w:p>
    <w:p>
      <w:pPr>
        <w:pStyle w:val="Normal"/>
        <w:rPr/>
      </w:pPr>
      <w:r>
        <w:rPr/>
      </w:r>
    </w:p>
    <w:p>
      <w:pPr>
        <w:pStyle w:val="Normal"/>
        <w:rPr/>
      </w:pPr>
      <w:r>
        <w:rPr/>
        <w:t>El Programa de Energía Global de WRI ayuda a construir mercados de energía limpia y a cambiar las instituciones. Empezamos con el consumidor: ¿qué servicios energéticos se necesitan? ¿Qué modelos de negocio son sostenibles? ¿Cómo pueden los marcos regulatorios ampliar las soluciones? Tomamos los compromisos públicos como punto de partida e impulsamos políticas, proyectos y programas que aceleran y producen cambios sobre el terreno.</w:t>
      </w:r>
    </w:p>
    <w:p>
      <w:pPr>
        <w:pStyle w:val="Normal"/>
        <w:rPr/>
      </w:pPr>
      <w:r>
        <w:rPr/>
      </w:r>
    </w:p>
    <w:p>
      <w:pPr>
        <w:pStyle w:val="Normal"/>
        <w:rPr/>
      </w:pPr>
      <w:r>
        <w:rPr/>
        <w:t>Trabajamos con grandes compradores de energía, empresarios, empresas de servicios públicos, planificadores de políticas, instituciones orientadas al desarrollo y líderes urbanos para cambiar las inversiones en sistemas energéticos a tecnologías limpias que apoyen a comunidades prósperas y saludables y protejan el clima y los ecosistemas que nos sustentan.</w:t>
      </w:r>
      <w:r>
        <w:rPr/>
        <w:t>[6]</w:t>
      </w:r>
    </w:p>
    <w:p>
      <w:pPr>
        <w:pStyle w:val="Normal"/>
        <w:rPr/>
      </w:pPr>
      <w:r>
        <w:rPr/>
      </w:r>
    </w:p>
    <w:p>
      <w:pPr>
        <w:pStyle w:val="Normal"/>
        <w:rPr/>
      </w:pPr>
      <w:r>
        <w:rPr/>
      </w:r>
    </w:p>
    <w:p>
      <w:pPr>
        <w:pStyle w:val="Normal"/>
        <w:rPr/>
      </w:pPr>
      <w:r>
        <w:rPr/>
        <w:t>Bibliografía:</w:t>
      </w:r>
    </w:p>
    <w:p>
      <w:pPr>
        <w:pStyle w:val="Normal"/>
        <w:rPr/>
      </w:pPr>
      <w:r>
        <w:rPr/>
      </w:r>
    </w:p>
    <w:p>
      <w:pPr>
        <w:pStyle w:val="Normal"/>
        <w:numPr>
          <w:ilvl w:val="0"/>
          <w:numId w:val="2"/>
        </w:numPr>
        <w:rPr/>
      </w:pPr>
      <w:hyperlink r:id="rId3">
        <w:r>
          <w:rPr>
            <w:rStyle w:val="EnlacedeInternet"/>
          </w:rPr>
          <w:t>https://app.cfe.mx/Aplicaciones/CCFE/Tarifas/Tarifas/Tarifas_industria.asp?Tarifa=CMAMT&amp;Anio=2012</w:t>
        </w:r>
      </w:hyperlink>
      <w:r>
        <w:rPr/>
        <w:t>, CFE, Fecha de acceso: 14 de mayo de 2019</w:t>
      </w:r>
    </w:p>
    <w:p>
      <w:pPr>
        <w:pStyle w:val="Normal"/>
        <w:rPr/>
      </w:pPr>
      <w:r>
        <w:rPr/>
      </w:r>
    </w:p>
    <w:p>
      <w:pPr>
        <w:pStyle w:val="Normal"/>
        <w:numPr>
          <w:ilvl w:val="0"/>
          <w:numId w:val="2"/>
        </w:numPr>
        <w:rPr/>
      </w:pPr>
      <w:r>
        <w:rPr/>
        <w:t xml:space="preserve"> </w:t>
      </w:r>
      <w:hyperlink r:id="rId4">
        <w:r>
          <w:rPr>
            <w:rStyle w:val="EnlacedeInternet"/>
          </w:rPr>
          <w:t>https://www.hostdime.com/blog/global-electricity-prices-2018/</w:t>
        </w:r>
      </w:hyperlink>
      <w:r>
        <w:rPr/>
        <w:t>, HostDime Blog, El precio medio actual de la electricidad en el mundo, Fecha de publicación: 30 de agosto de 2018, Fecha de acceso: 14 de mayo de 2019</w:t>
      </w:r>
    </w:p>
    <w:p>
      <w:pPr>
        <w:pStyle w:val="Normal"/>
        <w:rPr/>
      </w:pPr>
      <w:r>
        <w:rPr/>
      </w:r>
    </w:p>
    <w:p>
      <w:pPr>
        <w:pStyle w:val="Normal"/>
        <w:numPr>
          <w:ilvl w:val="0"/>
          <w:numId w:val="2"/>
        </w:numPr>
        <w:rPr/>
      </w:pPr>
      <w:r>
        <w:rPr/>
        <w:t xml:space="preserve">    </w:t>
      </w:r>
      <w:hyperlink r:id="rId5">
        <w:r>
          <w:rPr>
            <w:rStyle w:val="EnlacedeInternet"/>
          </w:rPr>
          <w:t>https://www.milenio.com/negocios/fracking-e-incentivos-impulsos-a-gas-natural</w:t>
        </w:r>
      </w:hyperlink>
      <w:r>
        <w:rPr/>
        <w:t>, Milenio, "Fracking" e incentivos, impulsos a gas natural,  Fecha de publicación: 15 de octubre de 2018,</w:t>
      </w:r>
    </w:p>
    <w:p>
      <w:pPr>
        <w:pStyle w:val="Normal"/>
        <w:numPr>
          <w:ilvl w:val="0"/>
          <w:numId w:val="0"/>
        </w:numPr>
        <w:ind w:left="720" w:hanging="0"/>
        <w:rPr/>
      </w:pPr>
      <w:r>
        <w:rPr/>
        <w:t>Fecha de acceso: 14 de mayo de 2019</w:t>
      </w:r>
    </w:p>
    <w:p>
      <w:pPr>
        <w:pStyle w:val="Normal"/>
        <w:rPr/>
      </w:pPr>
      <w:r>
        <w:rPr/>
      </w:r>
    </w:p>
    <w:p>
      <w:pPr>
        <w:pStyle w:val="Normal"/>
        <w:numPr>
          <w:ilvl w:val="0"/>
          <w:numId w:val="2"/>
        </w:numPr>
        <w:rPr/>
      </w:pPr>
      <w:r>
        <w:rPr/>
        <w:t xml:space="preserve"> </w:t>
      </w:r>
      <w:hyperlink r:id="rId6">
        <w:r>
          <w:rPr>
            <w:rStyle w:val="EnlacedeInternet"/>
          </w:rPr>
          <w:t>https://www.itdp.org/</w:t>
        </w:r>
      </w:hyperlink>
      <w:r>
        <w:rPr/>
        <w:t>, Institute for Transportation and Development Policy, ITDP: El Instituto de Políticas de Transporte y Desarrollo, Fecha de acceso: 13 de mayo de 2019.</w:t>
      </w:r>
    </w:p>
    <w:p>
      <w:pPr>
        <w:pStyle w:val="Normal"/>
        <w:numPr>
          <w:ilvl w:val="0"/>
          <w:numId w:val="0"/>
        </w:numPr>
        <w:ind w:left="720" w:hanging="0"/>
        <w:rPr/>
      </w:pPr>
      <w:r>
        <w:rPr/>
      </w:r>
    </w:p>
    <w:p>
      <w:pPr>
        <w:pStyle w:val="Normal"/>
        <w:numPr>
          <w:ilvl w:val="0"/>
          <w:numId w:val="2"/>
        </w:numPr>
        <w:rPr/>
      </w:pPr>
      <w:hyperlink r:id="rId7">
        <w:r>
          <w:rPr>
            <w:rStyle w:val="EnlacedeInternet"/>
          </w:rPr>
          <w:t>https://www.gob.mx/conuee/que-hacemos</w:t>
        </w:r>
      </w:hyperlink>
      <w:r>
        <w:rPr/>
        <w:t>, ¿Qué hacemos?. Fecha de acceso: 13 de mayo de 2019</w:t>
      </w:r>
    </w:p>
    <w:p>
      <w:pPr>
        <w:pStyle w:val="Normal"/>
        <w:numPr>
          <w:ilvl w:val="0"/>
          <w:numId w:val="0"/>
        </w:numPr>
        <w:ind w:left="720" w:hanging="0"/>
        <w:rPr/>
      </w:pPr>
      <w:r>
        <w:rPr/>
      </w:r>
    </w:p>
    <w:p>
      <w:pPr>
        <w:pStyle w:val="Normal"/>
        <w:numPr>
          <w:ilvl w:val="0"/>
          <w:numId w:val="2"/>
        </w:numPr>
        <w:rPr/>
      </w:pPr>
      <w:r>
        <w:rPr/>
        <w:t xml:space="preserve"> </w:t>
      </w:r>
      <w:hyperlink r:id="rId8">
        <w:r>
          <w:rPr>
            <w:rStyle w:val="EnlacedeInternet"/>
          </w:rPr>
          <w:t>https://www.wri.org/our-work/topics/energy</w:t>
        </w:r>
      </w:hyperlink>
      <w:r>
        <w:rPr/>
        <w:t xml:space="preserve"> ,Energy,Instituto de Recursos Mundiales,Energía, Fecha de publicación: 01 de enero de 1970, Fecha de acceso: 13 de mayo de 2019.</w:t>
      </w:r>
    </w:p>
    <w:p>
      <w:pPr>
        <w:pStyle w:val="Normal"/>
        <w:numPr>
          <w:ilvl w:val="0"/>
          <w:numId w:val="0"/>
        </w:numPr>
        <w:ind w:left="720" w:hanging="0"/>
        <w:rPr>
          <w:u w:val="single"/>
        </w:rPr>
      </w:pPr>
      <w:r>
        <w:rPr>
          <w:u w:val="singl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 w:val="24"/>
        <w:szCs w:val="24"/>
        <w:lang w:val="es-MX"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AR PL SungtiL GB" w:cs="FreeSans"/>
      <w:color w:val="auto"/>
      <w:sz w:val="24"/>
      <w:szCs w:val="24"/>
      <w:lang w:val="es-MX" w:eastAsia="zh-CN" w:bidi="hi-IN"/>
    </w:rPr>
  </w:style>
  <w:style w:type="paragraph" w:styleId="Ttulo2">
    <w:name w:val="Heading 2"/>
    <w:basedOn w:val="Ttulo"/>
    <w:next w:val="Cuerpodetexto"/>
    <w:qFormat/>
    <w:pPr>
      <w:numPr>
        <w:ilvl w:val="0"/>
        <w:numId w:val="0"/>
      </w:numPr>
      <w:spacing w:before="200" w:after="120"/>
      <w:outlineLvl w:val="1"/>
    </w:pPr>
    <w:rPr>
      <w:rFonts w:ascii="Liberation Serif" w:hAnsi="Liberation Serif" w:eastAsia="AR PL SungtiL GB" w:cs="FreeSans"/>
      <w:b/>
      <w:bCs/>
      <w:sz w:val="36"/>
      <w:szCs w:val="36"/>
    </w:rPr>
  </w:style>
  <w:style w:type="character" w:styleId="EnlacedeInternet">
    <w:name w:val="Enlace de Internet"/>
    <w:rPr>
      <w:color w:val="000080"/>
      <w:u w:val="single"/>
      <w:lang w:val="zxx" w:eastAsia="zxx" w:bidi="zxx"/>
    </w:rPr>
  </w:style>
  <w:style w:type="character" w:styleId="EnlacedeInternetvisitado">
    <w:name w:val="Enlace de Internet visitado"/>
    <w:rPr>
      <w:color w:val="800000"/>
      <w:u w:val="single"/>
      <w:lang w:val="zxx" w:eastAsia="zxx" w:bidi="zxx"/>
    </w:rPr>
  </w:style>
  <w:style w:type="character" w:styleId="Muydestacado">
    <w:name w:val="Muy destacado"/>
    <w:qFormat/>
    <w:rPr>
      <w:b/>
      <w:bCs/>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Cuerpodetexto"/>
    <w:qFormat/>
    <w:pPr>
      <w:keepNext/>
      <w:spacing w:before="240" w:after="120"/>
    </w:pPr>
    <w:rPr>
      <w:rFonts w:ascii="Liberation Sans" w:hAnsi="Liberation Sans" w:eastAsia="AR PL SungtiL GB"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hyperlink" Target="https://app.cfe.mx/Aplicaciones/CCFE/Tarifas/Tarifas/Tarifas_industria.asp?Tarifa=CMAMT&amp;Anio=2012" TargetMode="External"/><Relationship Id="rId4" Type="http://schemas.openxmlformats.org/officeDocument/2006/relationships/hyperlink" Target="https://www.hostdime.com/blog/global-electricity-prices-2018/" TargetMode="External"/><Relationship Id="rId5" Type="http://schemas.openxmlformats.org/officeDocument/2006/relationships/hyperlink" Target="https://www.milenio.com/negocios/fracking-e-incentivos-impulsos-a-gas-natural" TargetMode="External"/><Relationship Id="rId6" Type="http://schemas.openxmlformats.org/officeDocument/2006/relationships/hyperlink" Target="https://www.itdp.org/" TargetMode="External"/><Relationship Id="rId7" Type="http://schemas.openxmlformats.org/officeDocument/2006/relationships/hyperlink" Target="https://www.gob.mx/conuee/que-hacemos" TargetMode="External"/><Relationship Id="rId8" Type="http://schemas.openxmlformats.org/officeDocument/2006/relationships/hyperlink" Target="https://www.wri.org/our-work/topics/energy"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barChart>
        <c:barDir val="col"/>
        <c:grouping val="clustered"/>
        <c:varyColors val="0"/>
        <c:ser>
          <c:idx val="0"/>
          <c:order val="0"/>
          <c:tx>
            <c:strRef>
              <c:f>label 0</c:f>
              <c:strCache>
                <c:ptCount val="1"/>
                <c:pt idx="0">
                  <c:v>[USD/Kwh]</c:v>
                </c:pt>
              </c:strCache>
            </c:strRef>
          </c:tx>
          <c:spPr>
            <a:solidFill>
              <a:srgbClr val="004586"/>
            </a:solidFill>
            <a:ln>
              <a:noFill/>
            </a:ln>
          </c:spPr>
          <c:invertIfNegative val="0"/>
          <c:dLbls>
            <c:showLegendKey val="0"/>
            <c:showVal val="0"/>
            <c:showCatName val="0"/>
            <c:showSerName val="0"/>
            <c:showPercent val="0"/>
            <c:showLeaderLines val="0"/>
          </c:dLbls>
          <c:cat>
            <c:strRef>
              <c:f>categories</c:f>
              <c:strCache>
                <c:ptCount val="7"/>
                <c:pt idx="0">
                  <c:v>Alemania</c:v>
                </c:pt>
                <c:pt idx="1">
                  <c:v>Italia</c:v>
                </c:pt>
                <c:pt idx="2">
                  <c:v>E.E.U.U.</c:v>
                </c:pt>
                <c:pt idx="3">
                  <c:v>Framcia</c:v>
                </c:pt>
                <c:pt idx="4">
                  <c:v>México</c:v>
                </c:pt>
                <c:pt idx="5">
                  <c:v>China</c:v>
                </c:pt>
                <c:pt idx="6">
                  <c:v>India</c:v>
                </c:pt>
              </c:strCache>
            </c:strRef>
          </c:cat>
          <c:val>
            <c:numRef>
              <c:f>0</c:f>
              <c:numCache>
                <c:formatCode>General</c:formatCode>
                <c:ptCount val="7"/>
                <c:pt idx="0">
                  <c:v>0.33</c:v>
                </c:pt>
                <c:pt idx="1">
                  <c:v>0.29</c:v>
                </c:pt>
                <c:pt idx="2">
                  <c:v>0.21</c:v>
                </c:pt>
                <c:pt idx="3">
                  <c:v>0.2</c:v>
                </c:pt>
                <c:pt idx="4">
                  <c:v>0.11</c:v>
                </c:pt>
                <c:pt idx="5">
                  <c:v>0.09</c:v>
                </c:pt>
                <c:pt idx="6">
                  <c:v>0.05</c:v>
                </c:pt>
              </c:numCache>
            </c:numRef>
          </c:val>
        </c:ser>
        <c:gapWidth val="100"/>
        <c:overlap val="0"/>
        <c:axId val="96365079"/>
        <c:axId val="52465217"/>
      </c:barChart>
      <c:catAx>
        <c:axId val="96365079"/>
        <c:scaling>
          <c:orientation val="minMax"/>
        </c:scaling>
        <c:delete val="0"/>
        <c:axPos val="b"/>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52465217"/>
        <c:crosses val="autoZero"/>
        <c:auto val="1"/>
        <c:lblAlgn val="ctr"/>
        <c:lblOffset val="100"/>
      </c:catAx>
      <c:valAx>
        <c:axId val="52465217"/>
        <c:scaling>
          <c:orientation val="minMax"/>
        </c:scaling>
        <c:delete val="0"/>
        <c:axPos val="l"/>
        <c:majorGridlines>
          <c:spPr>
            <a:ln>
              <a:solidFill>
                <a:srgbClr val="b3b3b3"/>
              </a:solidFill>
            </a:ln>
          </c:spPr>
        </c:majorGridlines>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96365079"/>
        <c:crosses val="autoZero"/>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emplate/>
  <TotalTime>84</TotalTime>
  <Application>LibreOffice/5.2.7.2$Linux_X86_64 LibreOffice_project/20m0$Build-2</Application>
  <Pages>4</Pages>
  <Words>898</Words>
  <Characters>5045</Characters>
  <CharactersWithSpaces>6646</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2019-05-12T18:28:10Z</dcterms:created>
  <dc:creator/>
  <dc:description/>
  <dc:language>es-MX</dc:language>
  <cp:lastModifiedBy/>
  <dcterms:modified xsi:type="dcterms:W3CDTF">2019-05-13T23:58:20Z</dcterms:modified>
  <cp:revision>4</cp:revision>
  <dc:subject/>
  <dc:title/>
</cp:coreProperties>
</file>