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00" w:after="100"/>
      </w:pPr>
      <w:r>
        <w:rPr>
          <w:b/>
          <w:color w:val="6B7981"/>
          <w:sz w:val="16"/>
        </w:rPr>
        <w:t>PLENARIA DEL SENADO · 27 DE OCTUBRE DE 2026   /   PROYECTO 1 DE 19</w:t>
      </w:r>
    </w:p>
    <w:p>
      <w:pPr>
        <w:keepNext/>
        <w:spacing w:after="100"/>
      </w:pPr>
      <w:r>
        <w:rPr>
          <w:b/>
          <w:color w:val="203845"/>
          <w:sz w:val="26"/>
        </w:rPr>
        <w:t>PL 223 de 2025 Senado</w:t>
      </w:r>
    </w:p>
    <w:p>
      <w:pPr>
        <w:keepNext/>
        <w:spacing w:after="160"/>
      </w:pPr>
      <w:r>
        <w:rPr>
          <w:b/>
          <w:color w:val="203845"/>
          <w:sz w:val="19"/>
        </w:rPr>
        <w:t>Reglas para la ley seca</w:t>
      </w:r>
    </w:p>
    <w:tbl>
      <w:tblPr>
        <w:tblStyle w:val="TableGrid"/>
        <w:tblW w:type="auto" w:w="0"/>
        <w:jc w:val="center"/>
        <w:tblLayout w:type="fixed"/>
        <w:tblLook w:firstColumn="1" w:firstRow="1" w:lastColumn="0" w:lastRow="0" w:noHBand="0" w:noVBand="1" w:val="04A0"/>
      </w:tblPr>
      <w:tblGrid>
        <w:gridCol w:w="1757"/>
        <w:gridCol w:w="8164"/>
      </w:tblGrid>
      <w:tr>
        <w:tc>
          <w:tcPr>
            <w:tcW w:type="dxa" w:w="1757"/>
            <w:vAlign w:val="top"/>
            <w:shd w:fill="EFF2F3"/>
          </w:tcPr>
          <w:p>
            <w:pPr>
              <w:spacing w:after="0" w:line="252" w:lineRule="auto"/>
            </w:pPr>
            <w:r/>
            <w:r>
              <w:rPr>
                <w:rFonts w:ascii="Aptos" w:hAnsi="Aptos"/>
                <w:b/>
                <w:color w:val="6B7981"/>
                <w:sz w:val="15"/>
              </w:rPr>
              <w:t>TIPO DE LEY</w:t>
            </w:r>
          </w:p>
        </w:tc>
        <w:tc>
          <w:tcPr>
            <w:tcW w:type="dxa" w:w="7143"/>
            <w:vAlign w:val="top"/>
          </w:tcPr>
          <w:p>
            <w:pPr>
              <w:spacing w:after="0" w:line="252" w:lineRule="auto"/>
            </w:pPr>
            <w:r/>
            <w:r>
              <w:rPr>
                <w:rFonts w:ascii="Aptos" w:hAnsi="Aptos"/>
                <w:b w:val="0"/>
                <w:color w:val="1E2B33"/>
                <w:sz w:val="16"/>
              </w:rPr>
              <w:t>Ordinaria</w:t>
            </w:r>
          </w:p>
        </w:tc>
      </w:tr>
      <w:tr>
        <w:tc>
          <w:tcPr>
            <w:tcW w:type="dxa" w:w="1757"/>
            <w:vAlign w:val="top"/>
            <w:shd w:fill="EFF2F3"/>
          </w:tcPr>
          <w:p>
            <w:pPr>
              <w:spacing w:after="0" w:line="252" w:lineRule="auto"/>
            </w:pPr>
            <w:r/>
            <w:r>
              <w:rPr>
                <w:rFonts w:ascii="Aptos" w:hAnsi="Aptos"/>
                <w:b/>
                <w:color w:val="6B7981"/>
                <w:sz w:val="15"/>
              </w:rPr>
              <w:t>ESTADO DOCUMENTADO</w:t>
            </w:r>
          </w:p>
        </w:tc>
        <w:tc>
          <w:tcPr>
            <w:tcW w:type="dxa" w:w="7143"/>
            <w:vAlign w:val="top"/>
          </w:tcPr>
          <w:p>
            <w:pPr>
              <w:spacing w:after="0" w:line="252" w:lineRule="auto"/>
            </w:pPr>
            <w:r/>
            <w:r>
              <w:rPr>
                <w:rFonts w:ascii="Aptos" w:hAnsi="Aptos"/>
                <w:b w:val="0"/>
                <w:color w:val="1E2B33"/>
                <w:sz w:val="16"/>
              </w:rPr>
              <w:t>Último estado documentado: Segundo debate en plenaria del Senado. No se presume un resultado posterior al soporte consultado.</w:t>
            </w:r>
          </w:p>
        </w:tc>
      </w:tr>
      <w:tr>
        <w:tc>
          <w:tcPr>
            <w:tcW w:type="dxa" w:w="1757"/>
            <w:vAlign w:val="top"/>
            <w:shd w:fill="EFF2F3"/>
          </w:tcPr>
          <w:p>
            <w:pPr>
              <w:spacing w:after="0" w:line="252" w:lineRule="auto"/>
            </w:pPr>
            <w:r/>
            <w:r>
              <w:rPr>
                <w:rFonts w:ascii="Aptos" w:hAnsi="Aptos"/>
                <w:b/>
                <w:color w:val="6B7981"/>
                <w:sz w:val="15"/>
              </w:rPr>
              <w:t>ORIGEN</w:t>
            </w:r>
          </w:p>
        </w:tc>
        <w:tc>
          <w:tcPr>
            <w:tcW w:type="dxa" w:w="7143"/>
            <w:vAlign w:val="top"/>
          </w:tcPr>
          <w:p>
            <w:pPr>
              <w:spacing w:after="0" w:line="252" w:lineRule="auto"/>
            </w:pPr>
            <w:r/>
            <w:r>
              <w:rPr>
                <w:rFonts w:ascii="Aptos" w:hAnsi="Aptos"/>
                <w:b w:val="0"/>
                <w:color w:val="1E2B33"/>
                <w:sz w:val="16"/>
              </w:rPr>
              <w:t>Senado de la República · iniciativa congresional</w:t>
            </w:r>
          </w:p>
        </w:tc>
      </w:tr>
      <w:tr>
        <w:tc>
          <w:tcPr>
            <w:tcW w:type="dxa" w:w="1757"/>
            <w:vAlign w:val="top"/>
            <w:shd w:fill="EFF2F3"/>
          </w:tcPr>
          <w:p>
            <w:pPr>
              <w:spacing w:after="0" w:line="252" w:lineRule="auto"/>
            </w:pPr>
            <w:r/>
            <w:r>
              <w:rPr>
                <w:rFonts w:ascii="Aptos" w:hAnsi="Aptos"/>
                <w:b/>
                <w:color w:val="6B7981"/>
                <w:sz w:val="15"/>
              </w:rPr>
              <w:t>COMISIÓN</w:t>
            </w:r>
          </w:p>
        </w:tc>
        <w:tc>
          <w:tcPr>
            <w:tcW w:type="dxa" w:w="7143"/>
            <w:vAlign w:val="top"/>
          </w:tcPr>
          <w:p>
            <w:pPr>
              <w:spacing w:after="0" w:line="252" w:lineRule="auto"/>
            </w:pPr>
            <w:r/>
            <w:r>
              <w:rPr>
                <w:rFonts w:ascii="Aptos" w:hAnsi="Aptos"/>
                <w:b w:val="0"/>
                <w:color w:val="1E2B33"/>
                <w:sz w:val="16"/>
              </w:rPr>
              <w:t>Comisión Primera del Senado · reparto informado en el portal; la etapa de esta ficha puede corresponder a plenaria</w:t>
            </w:r>
          </w:p>
        </w:tc>
      </w:tr>
      <w:tr>
        <w:tc>
          <w:tcPr>
            <w:tcW w:type="dxa" w:w="1757"/>
            <w:vAlign w:val="top"/>
            <w:shd w:fill="EFF2F3"/>
          </w:tcPr>
          <w:p>
            <w:pPr>
              <w:spacing w:after="0" w:line="252" w:lineRule="auto"/>
            </w:pPr>
            <w:r/>
            <w:r>
              <w:rPr>
                <w:rFonts w:ascii="Aptos" w:hAnsi="Aptos"/>
                <w:b/>
                <w:color w:val="6B7981"/>
                <w:sz w:val="15"/>
              </w:rPr>
              <w:t>ACTIVIDAD DE LA SESIÓN</w:t>
            </w:r>
          </w:p>
        </w:tc>
        <w:tc>
          <w:tcPr>
            <w:tcW w:type="dxa" w:w="7143"/>
            <w:vAlign w:val="top"/>
          </w:tcPr>
          <w:p>
            <w:pPr>
              <w:spacing w:after="0" w:line="252" w:lineRule="auto"/>
            </w:pPr>
            <w:r/>
            <w:r>
              <w:rPr>
                <w:rFonts w:ascii="Aptos" w:hAnsi="Aptos"/>
                <w:b w:val="0"/>
                <w:color w:val="1E2B33"/>
                <w:sz w:val="16"/>
              </w:rPr>
              <w:t>Plenaria del Senado del 27 de octubre de 2026, 15:00 hora de Bogotá. Citada. Discusión y votación previstas.</w:t>
            </w:r>
          </w:p>
        </w:tc>
      </w:tr>
      <w:tr>
        <w:tc>
          <w:tcPr>
            <w:tcW w:type="dxa" w:w="1757"/>
            <w:vAlign w:val="top"/>
            <w:shd w:fill="EFF2F3"/>
          </w:tcPr>
          <w:p>
            <w:pPr>
              <w:spacing w:after="0" w:line="252" w:lineRule="auto"/>
            </w:pPr>
            <w:r/>
            <w:r>
              <w:rPr>
                <w:rFonts w:ascii="Aptos" w:hAnsi="Aptos"/>
                <w:b/>
                <w:color w:val="6B7981"/>
                <w:sz w:val="15"/>
              </w:rPr>
              <w:t>EXPOSICIÓN DE MOTIVOS</w:t>
            </w:r>
          </w:p>
        </w:tc>
        <w:tc>
          <w:tcPr>
            <w:tcW w:type="dxa" w:w="7143"/>
            <w:vAlign w:val="top"/>
          </w:tcPr>
          <w:p>
            <w:pPr>
              <w:spacing w:after="0" w:line="252" w:lineRule="auto"/>
            </w:pPr>
            <w:r/>
            <w:r>
              <w:rPr>
                <w:rFonts w:ascii="Aptos" w:hAnsi="Aptos"/>
                <w:b w:val="0"/>
                <w:color w:val="1E2B33"/>
                <w:sz w:val="16"/>
              </w:rPr>
              <w:t>El autor plantea que las restricciones de venta y consumo de alcohol necesitan criterios actualizados de necesidad, proporcionalidad y temporalidad. Busca conciliar seguridad y orden público con derechos ciudadanos y actividad económica, reducir decisiones arbitrarias y permitir tratamientos diferenciados según los riesgos de cada territorio o elección.</w:t>
            </w:r>
          </w:p>
        </w:tc>
      </w:tr>
      <w:tr>
        <w:tc>
          <w:tcPr>
            <w:tcW w:type="dxa" w:w="1757"/>
            <w:vAlign w:val="top"/>
            <w:shd w:fill="EFF2F3"/>
          </w:tcPr>
          <w:p>
            <w:pPr>
              <w:spacing w:after="0" w:line="252" w:lineRule="auto"/>
            </w:pPr>
            <w:r/>
            <w:r>
              <w:rPr>
                <w:rFonts w:ascii="Aptos" w:hAnsi="Aptos"/>
                <w:b/>
                <w:color w:val="6B7981"/>
                <w:sz w:val="15"/>
              </w:rPr>
              <w:t>OBJETO DEL PROYECTO</w:t>
            </w:r>
          </w:p>
        </w:tc>
        <w:tc>
          <w:tcPr>
            <w:tcW w:type="dxa" w:w="7143"/>
            <w:vAlign w:val="top"/>
          </w:tcPr>
          <w:p>
            <w:pPr>
              <w:spacing w:after="0" w:line="252" w:lineRule="auto"/>
            </w:pPr>
            <w:r/>
            <w:r>
              <w:rPr>
                <w:rFonts w:ascii="Aptos" w:hAnsi="Aptos"/>
                <w:b w:val="0"/>
                <w:color w:val="1E2B33"/>
                <w:sz w:val="16"/>
              </w:rPr>
              <w:t>Crea un marco para la ley seca basado en necesidad, proporcionalidad, temporalidad y publicidad. Regula duración, motivación, aplicación territorial y excepciones para restaurantes y hospedajes; el texto posterior ajusta la estructura y las reglas electorales.</w:t>
            </w:r>
          </w:p>
        </w:tc>
      </w:tr>
      <w:tr>
        <w:tc>
          <w:tcPr>
            <w:tcW w:type="dxa" w:w="1757"/>
            <w:vAlign w:val="top"/>
            <w:shd w:fill="EFF2F3"/>
          </w:tcPr>
          <w:p>
            <w:pPr>
              <w:spacing w:after="0" w:line="252" w:lineRule="auto"/>
            </w:pPr>
            <w:r/>
            <w:r>
              <w:rPr>
                <w:rFonts w:ascii="Aptos" w:hAnsi="Aptos"/>
                <w:b/>
                <w:color w:val="6B7981"/>
                <w:sz w:val="15"/>
              </w:rPr>
              <w:t>ANÁLISIS DOCUMENTAL</w:t>
            </w:r>
          </w:p>
        </w:tc>
        <w:tc>
          <w:tcPr>
            <w:tcW w:type="dxa" w:w="7143"/>
            <w:vAlign w:val="top"/>
          </w:tcPr>
          <w:p>
            <w:pPr>
              <w:spacing w:after="0" w:line="252" w:lineRule="auto"/>
            </w:pPr>
            <w:r/>
            <w:r>
              <w:rPr>
                <w:rFonts w:ascii="Aptos" w:hAnsi="Aptos"/>
                <w:b w:val="0"/>
                <w:color w:val="1E2B33"/>
                <w:sz w:val="16"/>
              </w:rPr>
              <w:t>La ponencia 612/2026 regula la restricción temporal de venta y consumo de bebidas embriagantes para preservar o restablecer el orden público. Exige causalidad, ámbito y duración delimitados, motivación y publicidad; prevé máximo ordinario de 12 horas salvo alteración grave y reglas electorales y excepciones. La ficha oficial registra a Héctor Olimpo Espinosa Oliver como nuevo ponente. El orden cita 612 y 1355/2026; la ficha identifica esta última como adhesión, no como texto de ponencia diferente. No se presenta la iniciativa como eliminación general de la ley seca.</w:t>
            </w:r>
          </w:p>
        </w:tc>
      </w:tr>
      <w:tr>
        <w:tc>
          <w:tcPr>
            <w:tcW w:type="dxa" w:w="1757"/>
            <w:vAlign w:val="top"/>
            <w:shd w:fill="EFF2F3"/>
          </w:tcPr>
          <w:p>
            <w:pPr>
              <w:spacing w:after="0" w:line="252" w:lineRule="auto"/>
            </w:pPr>
            <w:r/>
            <w:r>
              <w:rPr>
                <w:rFonts w:ascii="Aptos" w:hAnsi="Aptos"/>
                <w:b/>
                <w:color w:val="6B7981"/>
                <w:sz w:val="15"/>
              </w:rPr>
              <w:t>PONENTES</w:t>
            </w:r>
          </w:p>
        </w:tc>
        <w:tc>
          <w:tcPr>
            <w:tcW w:type="dxa" w:w="7143"/>
            <w:vAlign w:val="top"/>
          </w:tcPr>
          <w:p>
            <w:pPr>
              <w:spacing w:after="0" w:line="252" w:lineRule="auto"/>
            </w:pPr>
            <w:r/>
            <w:r>
              <w:rPr>
                <w:rFonts w:ascii="Aptos" w:hAnsi="Aptos"/>
                <w:b w:val="0"/>
                <w:color w:val="1E2B33"/>
                <w:sz w:val="16"/>
              </w:rPr>
              <w:t>Héctor Olimpo Espinosa Oliver · nuevo ponente para segundo debate.</w:t>
            </w:r>
          </w:p>
        </w:tc>
      </w:tr>
      <w:tr>
        <w:tc>
          <w:tcPr>
            <w:tcW w:type="dxa" w:w="1757"/>
            <w:vAlign w:val="top"/>
            <w:shd w:fill="EFF2F3"/>
          </w:tcPr>
          <w:p>
            <w:pPr>
              <w:spacing w:after="0" w:line="252" w:lineRule="auto"/>
            </w:pPr>
            <w:r/>
            <w:r>
              <w:rPr>
                <w:rFonts w:ascii="Aptos" w:hAnsi="Aptos"/>
                <w:b/>
                <w:color w:val="6B7981"/>
                <w:sz w:val="15"/>
              </w:rPr>
              <w:t>SOPORTES IDENTIFICADOS</w:t>
            </w:r>
          </w:p>
        </w:tc>
        <w:tc>
          <w:tcPr>
            <w:tcW w:type="dxa" w:w="7143"/>
            <w:vAlign w:val="top"/>
          </w:tcPr>
          <w:p>
            <w:pPr>
              <w:spacing w:after="0" w:line="252" w:lineRule="auto"/>
            </w:pPr>
            <w:r/>
            <w:r>
              <w:rPr>
                <w:rFonts w:ascii="Aptos" w:hAnsi="Aptos"/>
                <w:b w:val="0"/>
                <w:color w:val="1E2B33"/>
                <w:sz w:val="16"/>
              </w:rPr>
              <w:t>Orden o soporte de sesión; Texto radicado; Ponencia o soporte actual; Fuente de ponentes. Consultar expediente digital para acceder a los documentos oficiales.</w:t>
            </w:r>
          </w:p>
        </w:tc>
      </w:tr>
      <w:tr>
        <w:tc>
          <w:tcPr>
            <w:tcW w:type="dxa" w:w="1757"/>
            <w:vAlign w:val="top"/>
            <w:shd w:fill="EFF2F3"/>
          </w:tcPr>
          <w:p>
            <w:pPr>
              <w:spacing w:after="0" w:line="252" w:lineRule="auto"/>
            </w:pPr>
            <w:r/>
            <w:r>
              <w:rPr>
                <w:rFonts w:ascii="Aptos" w:hAnsi="Aptos"/>
                <w:b/>
                <w:color w:val="6B7981"/>
                <w:sz w:val="15"/>
              </w:rPr>
              <w:t>NOTAS DE VERIFICACIÓN</w:t>
            </w:r>
          </w:p>
        </w:tc>
        <w:tc>
          <w:tcPr>
            <w:tcW w:type="dxa" w:w="7143"/>
            <w:vAlign w:val="top"/>
          </w:tcPr>
          <w:p>
            <w:pPr>
              <w:spacing w:after="40" w:line="252" w:lineRule="auto"/>
            </w:pPr>
            <w:r/>
            <w:r>
              <w:rPr>
                <w:rFonts w:ascii="Aptos" w:hAnsi="Aptos"/>
                <w:b w:val="0"/>
                <w:color w:val="1E2B33"/>
                <w:sz w:val="16"/>
              </w:rPr>
              <w:t>Texto radicado, Exposición de motivos, objetivos y justificación de su naturaleza ordinaria, p. 8.</w:t>
            </w:r>
          </w:p>
          <w:p>
            <w:pPr>
              <w:spacing w:after="0" w:line="252" w:lineRule="auto"/>
            </w:pPr>
            <w:r>
              <w:rPr>
                <w:rFonts w:ascii="Aptos" w:hAnsi="Aptos"/>
                <w:b w:val="0"/>
                <w:color w:val="1E2B33"/>
                <w:sz w:val="16"/>
              </w:rPr>
              <w:t>Contenido de la sesión verificado el 25 de octubre de 2026. Texto radicado verificado el 25 de octubre de 2026.</w:t>
            </w:r>
          </w:p>
        </w:tc>
      </w:tr>
    </w:tbl>
    <w:p>
      <w:r>
        <w:br w:type="page"/>
      </w:r>
    </w:p>
    <w:p>
      <w:pPr>
        <w:keepNext/>
        <w:spacing w:before="100" w:after="100"/>
      </w:pPr>
      <w:r>
        <w:rPr>
          <w:b/>
          <w:color w:val="6B7981"/>
          <w:sz w:val="16"/>
        </w:rPr>
        <w:t>PLENARIA DEL SENADO · 27 DE OCTUBRE DE 2026   /   PROYECTO 2 DE 19</w:t>
      </w:r>
    </w:p>
    <w:p>
      <w:pPr>
        <w:keepNext/>
        <w:spacing w:after="100"/>
      </w:pPr>
      <w:r>
        <w:rPr>
          <w:b/>
          <w:color w:val="203845"/>
          <w:sz w:val="26"/>
        </w:rPr>
        <w:t>PL 295 de 2025 Senado</w:t>
      </w:r>
    </w:p>
    <w:p>
      <w:pPr>
        <w:keepNext/>
        <w:spacing w:after="160"/>
      </w:pPr>
      <w:r>
        <w:rPr>
          <w:b/>
          <w:color w:val="203845"/>
          <w:sz w:val="19"/>
        </w:rPr>
        <w:t>Incompatibilidad sobreviniente de alcaldes y gobernadores por parentesco</w:t>
      </w:r>
    </w:p>
    <w:tbl>
      <w:tblPr>
        <w:tblStyle w:val="TableGrid"/>
        <w:tblW w:type="auto" w:w="0"/>
        <w:jc w:val="center"/>
        <w:tblLayout w:type="fixed"/>
        <w:tblLook w:firstColumn="1" w:firstRow="1" w:lastColumn="0" w:lastRow="0" w:noHBand="0" w:noVBand="1" w:val="04A0"/>
      </w:tblPr>
      <w:tblGrid>
        <w:gridCol w:w="1757"/>
        <w:gridCol w:w="8164"/>
      </w:tblGrid>
      <w:tr>
        <w:tc>
          <w:tcPr>
            <w:tcW w:type="dxa" w:w="1757"/>
            <w:vAlign w:val="top"/>
            <w:shd w:fill="EFF2F3"/>
          </w:tcPr>
          <w:p>
            <w:pPr>
              <w:spacing w:after="0" w:line="252" w:lineRule="auto"/>
            </w:pPr>
            <w:r/>
            <w:r>
              <w:rPr>
                <w:rFonts w:ascii="Aptos" w:hAnsi="Aptos"/>
                <w:b/>
                <w:color w:val="6B7981"/>
                <w:sz w:val="15"/>
              </w:rPr>
              <w:t>TIPO DE LEY</w:t>
            </w:r>
          </w:p>
        </w:tc>
        <w:tc>
          <w:tcPr>
            <w:tcW w:type="dxa" w:w="7143"/>
            <w:vAlign w:val="top"/>
          </w:tcPr>
          <w:p>
            <w:pPr>
              <w:spacing w:after="0" w:line="252" w:lineRule="auto"/>
            </w:pPr>
            <w:r/>
            <w:r>
              <w:rPr>
                <w:rFonts w:ascii="Aptos" w:hAnsi="Aptos"/>
                <w:b w:val="0"/>
                <w:color w:val="1E2B33"/>
                <w:sz w:val="16"/>
              </w:rPr>
              <w:t>Ordinaria</w:t>
            </w:r>
          </w:p>
        </w:tc>
      </w:tr>
      <w:tr>
        <w:tc>
          <w:tcPr>
            <w:tcW w:type="dxa" w:w="1757"/>
            <w:vAlign w:val="top"/>
            <w:shd w:fill="EFF2F3"/>
          </w:tcPr>
          <w:p>
            <w:pPr>
              <w:spacing w:after="0" w:line="252" w:lineRule="auto"/>
            </w:pPr>
            <w:r/>
            <w:r>
              <w:rPr>
                <w:rFonts w:ascii="Aptos" w:hAnsi="Aptos"/>
                <w:b/>
                <w:color w:val="6B7981"/>
                <w:sz w:val="15"/>
              </w:rPr>
              <w:t>ESTADO DOCUMENTADO</w:t>
            </w:r>
          </w:p>
        </w:tc>
        <w:tc>
          <w:tcPr>
            <w:tcW w:type="dxa" w:w="7143"/>
            <w:vAlign w:val="top"/>
          </w:tcPr>
          <w:p>
            <w:pPr>
              <w:spacing w:after="0" w:line="252" w:lineRule="auto"/>
            </w:pPr>
            <w:r/>
            <w:r>
              <w:rPr>
                <w:rFonts w:ascii="Aptos" w:hAnsi="Aptos"/>
                <w:b w:val="0"/>
                <w:color w:val="1E2B33"/>
                <w:sz w:val="16"/>
              </w:rPr>
              <w:t>Último estado documentado: Segundo debate en plenaria del Senado. No se presume un resultado posterior al soporte consultado.</w:t>
            </w:r>
          </w:p>
        </w:tc>
      </w:tr>
      <w:tr>
        <w:tc>
          <w:tcPr>
            <w:tcW w:type="dxa" w:w="1757"/>
            <w:vAlign w:val="top"/>
            <w:shd w:fill="EFF2F3"/>
          </w:tcPr>
          <w:p>
            <w:pPr>
              <w:spacing w:after="0" w:line="252" w:lineRule="auto"/>
            </w:pPr>
            <w:r/>
            <w:r>
              <w:rPr>
                <w:rFonts w:ascii="Aptos" w:hAnsi="Aptos"/>
                <w:b/>
                <w:color w:val="6B7981"/>
                <w:sz w:val="15"/>
              </w:rPr>
              <w:t>ORIGEN</w:t>
            </w:r>
          </w:p>
        </w:tc>
        <w:tc>
          <w:tcPr>
            <w:tcW w:type="dxa" w:w="7143"/>
            <w:vAlign w:val="top"/>
          </w:tcPr>
          <w:p>
            <w:pPr>
              <w:spacing w:after="0" w:line="252" w:lineRule="auto"/>
            </w:pPr>
            <w:r/>
            <w:r>
              <w:rPr>
                <w:rFonts w:ascii="Aptos" w:hAnsi="Aptos"/>
                <w:b w:val="0"/>
                <w:color w:val="1E2B33"/>
                <w:sz w:val="16"/>
              </w:rPr>
              <w:t>Senado de la República · iniciativa congresional</w:t>
            </w:r>
          </w:p>
        </w:tc>
      </w:tr>
      <w:tr>
        <w:tc>
          <w:tcPr>
            <w:tcW w:type="dxa" w:w="1757"/>
            <w:vAlign w:val="top"/>
            <w:shd w:fill="EFF2F3"/>
          </w:tcPr>
          <w:p>
            <w:pPr>
              <w:spacing w:after="0" w:line="252" w:lineRule="auto"/>
            </w:pPr>
            <w:r/>
            <w:r>
              <w:rPr>
                <w:rFonts w:ascii="Aptos" w:hAnsi="Aptos"/>
                <w:b/>
                <w:color w:val="6B7981"/>
                <w:sz w:val="15"/>
              </w:rPr>
              <w:t>COMISIÓN</w:t>
            </w:r>
          </w:p>
        </w:tc>
        <w:tc>
          <w:tcPr>
            <w:tcW w:type="dxa" w:w="7143"/>
            <w:vAlign w:val="top"/>
          </w:tcPr>
          <w:p>
            <w:pPr>
              <w:spacing w:after="0" w:line="252" w:lineRule="auto"/>
            </w:pPr>
            <w:r/>
            <w:r>
              <w:rPr>
                <w:rFonts w:ascii="Aptos" w:hAnsi="Aptos"/>
                <w:b w:val="0"/>
                <w:color w:val="1E2B33"/>
                <w:sz w:val="16"/>
              </w:rPr>
              <w:t>Comisión Primera del Senado · reparto informado en el portal; la etapa de esta ficha puede corresponder a plenaria</w:t>
            </w:r>
          </w:p>
        </w:tc>
      </w:tr>
      <w:tr>
        <w:tc>
          <w:tcPr>
            <w:tcW w:type="dxa" w:w="1757"/>
            <w:vAlign w:val="top"/>
            <w:shd w:fill="EFF2F3"/>
          </w:tcPr>
          <w:p>
            <w:pPr>
              <w:spacing w:after="0" w:line="252" w:lineRule="auto"/>
            </w:pPr>
            <w:r/>
            <w:r>
              <w:rPr>
                <w:rFonts w:ascii="Aptos" w:hAnsi="Aptos"/>
                <w:b/>
                <w:color w:val="6B7981"/>
                <w:sz w:val="15"/>
              </w:rPr>
              <w:t>ACTIVIDAD DE LA SESIÓN</w:t>
            </w:r>
          </w:p>
        </w:tc>
        <w:tc>
          <w:tcPr>
            <w:tcW w:type="dxa" w:w="7143"/>
            <w:vAlign w:val="top"/>
          </w:tcPr>
          <w:p>
            <w:pPr>
              <w:spacing w:after="0" w:line="252" w:lineRule="auto"/>
            </w:pPr>
            <w:r/>
            <w:r>
              <w:rPr>
                <w:rFonts w:ascii="Aptos" w:hAnsi="Aptos"/>
                <w:b w:val="0"/>
                <w:color w:val="1E2B33"/>
                <w:sz w:val="16"/>
              </w:rPr>
              <w:t>Plenaria del Senado del 27 de octubre de 2026, 15:00 hora de Bogotá. Citada. Discusión y votación previstas.</w:t>
            </w:r>
          </w:p>
        </w:tc>
      </w:tr>
      <w:tr>
        <w:tc>
          <w:tcPr>
            <w:tcW w:type="dxa" w:w="1757"/>
            <w:vAlign w:val="top"/>
            <w:shd w:fill="EFF2F3"/>
          </w:tcPr>
          <w:p>
            <w:pPr>
              <w:spacing w:after="0" w:line="252" w:lineRule="auto"/>
            </w:pPr>
            <w:r/>
            <w:r>
              <w:rPr>
                <w:rFonts w:ascii="Aptos" w:hAnsi="Aptos"/>
                <w:b/>
                <w:color w:val="6B7981"/>
                <w:sz w:val="15"/>
              </w:rPr>
              <w:t>EXPOSICIÓN DE MOTIVOS</w:t>
            </w:r>
          </w:p>
        </w:tc>
        <w:tc>
          <w:tcPr>
            <w:tcW w:type="dxa" w:w="7143"/>
            <w:vAlign w:val="top"/>
          </w:tcPr>
          <w:p>
            <w:pPr>
              <w:spacing w:after="0" w:line="252" w:lineRule="auto"/>
            </w:pPr>
            <w:r/>
            <w:r>
              <w:rPr>
                <w:rFonts w:ascii="Aptos" w:hAnsi="Aptos"/>
                <w:b w:val="0"/>
                <w:color w:val="1E2B33"/>
                <w:sz w:val="16"/>
              </w:rPr>
              <w:t>La exposición identifica un vacío en la incompatibilidad sobreviniente cuando un alcalde o gobernador en ejercicio tiene determinados vínculos familiares con una persona inscrita o elegida al Congreso. El autor busca prevenir el uso del poder territorial para favorecer esas candidaturas y proteger la separación funcional, la igualdad electoral y la transparencia, sin atribuir conductas concretas a personas determinadas.</w:t>
            </w:r>
          </w:p>
        </w:tc>
      </w:tr>
      <w:tr>
        <w:tc>
          <w:tcPr>
            <w:tcW w:type="dxa" w:w="1757"/>
            <w:vAlign w:val="top"/>
            <w:shd w:fill="EFF2F3"/>
          </w:tcPr>
          <w:p>
            <w:pPr>
              <w:spacing w:after="0" w:line="252" w:lineRule="auto"/>
            </w:pPr>
            <w:r/>
            <w:r>
              <w:rPr>
                <w:rFonts w:ascii="Aptos" w:hAnsi="Aptos"/>
                <w:b/>
                <w:color w:val="6B7981"/>
                <w:sz w:val="15"/>
              </w:rPr>
              <w:t>OBJETO DEL PROYECTO</w:t>
            </w:r>
          </w:p>
        </w:tc>
        <w:tc>
          <w:tcPr>
            <w:tcW w:type="dxa" w:w="7143"/>
            <w:vAlign w:val="top"/>
          </w:tcPr>
          <w:p>
            <w:pPr>
              <w:spacing w:after="0" w:line="252" w:lineRule="auto"/>
            </w:pPr>
            <w:r/>
            <w:r>
              <w:rPr>
                <w:rFonts w:ascii="Aptos" w:hAnsi="Aptos"/>
                <w:b w:val="0"/>
                <w:color w:val="1E2B33"/>
                <w:sz w:val="16"/>
              </w:rPr>
              <w:t>Texto inicial, PDF oficial de 14 páginas leído (articulado en p. 3): adiciona los arts. 96A a la Ley 136/1994 y 113A a la Ley 2200/2022. Propone incompatibilidad para alcaldes y gobernadores si, durante su mandato, cónyuge, pareja permanente o pariente en tercer grado de consanguinidad, primero de afinidad o único civil es inscrito, elegido o se posesiona como congresista. El original no incluye presidente ni vicepresidente y difiere de la ponencia posterior. Este campo completa el pendiente anterior de lectura del articulado; el ponente vigente sigue pendiente.</w:t>
            </w:r>
          </w:p>
        </w:tc>
      </w:tr>
      <w:tr>
        <w:tc>
          <w:tcPr>
            <w:tcW w:type="dxa" w:w="1757"/>
            <w:vAlign w:val="top"/>
            <w:shd w:fill="EFF2F3"/>
          </w:tcPr>
          <w:p>
            <w:pPr>
              <w:spacing w:after="0" w:line="252" w:lineRule="auto"/>
            </w:pPr>
            <w:r/>
            <w:r>
              <w:rPr>
                <w:rFonts w:ascii="Aptos" w:hAnsi="Aptos"/>
                <w:b/>
                <w:color w:val="6B7981"/>
                <w:sz w:val="15"/>
              </w:rPr>
              <w:t>ANÁLISIS DOCUMENTAL</w:t>
            </w:r>
          </w:p>
        </w:tc>
        <w:tc>
          <w:tcPr>
            <w:tcW w:type="dxa" w:w="7143"/>
            <w:vAlign w:val="top"/>
          </w:tcPr>
          <w:p>
            <w:pPr>
              <w:spacing w:after="40" w:line="252" w:lineRule="auto"/>
            </w:pPr>
            <w:r/>
            <w:r>
              <w:rPr>
                <w:rFonts w:ascii="Aptos" w:hAnsi="Aptos"/>
                <w:b w:val="0"/>
                <w:color w:val="1E2B33"/>
                <w:sz w:val="16"/>
              </w:rPr>
              <w:t>El texto para segundo debate de la Gaceta 2127 del 10/11/2025 añade incompatibilidad sobreviniente a alcaldes y gobernadores cuando, durante su cargo, cónyuge, pareja permanente o pariente en segundo grado de consanguinidad, primero de afinidad o único civil sea inscrito, elegido o se posesione como congresista, presidente o vicepresidente. El orden aportado cita por error 2127/2026 e identifica a Carlos Alberto Benavides Mora. La ponencia pública de 2025 incluye a este senador entre varios ponentes: está pendiente corroborar la designación vigente de 2026.</w:t>
            </w:r>
          </w:p>
          <w:p>
            <w:pPr>
              <w:spacing w:after="0" w:line="252" w:lineRule="auto"/>
            </w:pPr>
            <w:r>
              <w:rPr>
                <w:rFonts w:ascii="Aptos" w:hAnsi="Aptos"/>
                <w:b w:val="0"/>
                <w:color w:val="1E2B33"/>
                <w:sz w:val="16"/>
              </w:rPr>
              <w:t>El PDF inicial del portal y la Gaceta 1963/2025 contienen exposición y firmas, pero no se pudo verificar íntegramente el articulado inicial; se omiten campos de ficha original hasta resolverlo.</w:t>
            </w:r>
          </w:p>
        </w:tc>
      </w:tr>
      <w:tr>
        <w:tc>
          <w:tcPr>
            <w:tcW w:type="dxa" w:w="1757"/>
            <w:vAlign w:val="top"/>
            <w:shd w:fill="EFF2F3"/>
          </w:tcPr>
          <w:p>
            <w:pPr>
              <w:spacing w:after="0" w:line="252" w:lineRule="auto"/>
            </w:pPr>
            <w:r/>
            <w:r>
              <w:rPr>
                <w:rFonts w:ascii="Aptos" w:hAnsi="Aptos"/>
                <w:b/>
                <w:color w:val="6B7981"/>
                <w:sz w:val="15"/>
              </w:rPr>
              <w:t>PONENTES</w:t>
            </w:r>
          </w:p>
        </w:tc>
        <w:tc>
          <w:tcPr>
            <w:tcW w:type="dxa" w:w="7143"/>
            <w:vAlign w:val="top"/>
          </w:tcPr>
          <w:p>
            <w:pPr>
              <w:spacing w:after="0" w:line="252" w:lineRule="auto"/>
            </w:pPr>
            <w:r/>
            <w:r>
              <w:rPr>
                <w:rFonts w:ascii="Aptos" w:hAnsi="Aptos"/>
                <w:b w:val="0"/>
                <w:color w:val="1E2B33"/>
                <w:sz w:val="16"/>
              </w:rPr>
              <w:t>Designación oficial pendiente de verificación.</w:t>
            </w:r>
          </w:p>
        </w:tc>
      </w:tr>
      <w:tr>
        <w:tc>
          <w:tcPr>
            <w:tcW w:type="dxa" w:w="1757"/>
            <w:vAlign w:val="top"/>
            <w:shd w:fill="EFF2F3"/>
          </w:tcPr>
          <w:p>
            <w:pPr>
              <w:spacing w:after="0" w:line="252" w:lineRule="auto"/>
            </w:pPr>
            <w:r/>
            <w:r>
              <w:rPr>
                <w:rFonts w:ascii="Aptos" w:hAnsi="Aptos"/>
                <w:b/>
                <w:color w:val="6B7981"/>
                <w:sz w:val="15"/>
              </w:rPr>
              <w:t>SOPORTES IDENTIFICADOS</w:t>
            </w:r>
          </w:p>
        </w:tc>
        <w:tc>
          <w:tcPr>
            <w:tcW w:type="dxa" w:w="7143"/>
            <w:vAlign w:val="top"/>
          </w:tcPr>
          <w:p>
            <w:pPr>
              <w:spacing w:after="0" w:line="252" w:lineRule="auto"/>
            </w:pPr>
            <w:r/>
            <w:r>
              <w:rPr>
                <w:rFonts w:ascii="Aptos" w:hAnsi="Aptos"/>
                <w:b w:val="0"/>
                <w:color w:val="1E2B33"/>
                <w:sz w:val="16"/>
              </w:rPr>
              <w:t>Orden o soporte de sesión; Texto radicado; Ponencia o soporte actual. Consultar expediente digital para acceder a los documentos oficiales.</w:t>
            </w:r>
          </w:p>
        </w:tc>
      </w:tr>
      <w:tr>
        <w:tc>
          <w:tcPr>
            <w:tcW w:type="dxa" w:w="1757"/>
            <w:vAlign w:val="top"/>
            <w:shd w:fill="EFF2F3"/>
          </w:tcPr>
          <w:p>
            <w:pPr>
              <w:spacing w:after="0" w:line="252" w:lineRule="auto"/>
            </w:pPr>
            <w:r/>
            <w:r>
              <w:rPr>
                <w:rFonts w:ascii="Aptos" w:hAnsi="Aptos"/>
                <w:b/>
                <w:color w:val="6B7981"/>
                <w:sz w:val="15"/>
              </w:rPr>
              <w:t>NOTAS DE VERIFICACIÓN</w:t>
            </w:r>
          </w:p>
        </w:tc>
        <w:tc>
          <w:tcPr>
            <w:tcW w:type="dxa" w:w="7143"/>
            <w:vAlign w:val="top"/>
          </w:tcPr>
          <w:p>
            <w:pPr>
              <w:spacing w:after="40" w:line="252" w:lineRule="auto"/>
            </w:pPr>
            <w:r/>
            <w:r>
              <w:rPr>
                <w:rFonts w:ascii="Aptos" w:hAnsi="Aptos"/>
                <w:b w:val="0"/>
                <w:color w:val="1E2B33"/>
                <w:sz w:val="16"/>
              </w:rPr>
              <w:t>Texto radicado, Exposición de motivos, objeto y defensa del equilibrio de poderes, p. 6.</w:t>
            </w:r>
          </w:p>
          <w:p>
            <w:pPr>
              <w:spacing w:after="0" w:line="252" w:lineRule="auto"/>
            </w:pPr>
            <w:r>
              <w:rPr>
                <w:rFonts w:ascii="Aptos" w:hAnsi="Aptos"/>
                <w:b w:val="0"/>
                <w:color w:val="1E2B33"/>
                <w:sz w:val="16"/>
              </w:rPr>
              <w:t>Contenido de la sesión verificado el 25 de octubre de 2026. Texto radicado verificado el 26 de octubre de 2026.</w:t>
            </w:r>
          </w:p>
        </w:tc>
      </w:tr>
    </w:tbl>
    <w:p>
      <w:r>
        <w:br w:type="page"/>
      </w:r>
    </w:p>
    <w:p>
      <w:pPr>
        <w:keepNext/>
        <w:spacing w:before="100" w:after="100"/>
      </w:pPr>
      <w:r>
        <w:rPr>
          <w:b/>
          <w:color w:val="6B7981"/>
          <w:sz w:val="16"/>
        </w:rPr>
        <w:t>PLENARIA DEL SENADO · 27 DE OCTUBRE DE 2026   /   PROYECTO 3 DE 19</w:t>
      </w:r>
    </w:p>
    <w:p>
      <w:pPr>
        <w:keepNext/>
        <w:spacing w:after="100"/>
      </w:pPr>
      <w:r>
        <w:rPr>
          <w:b/>
          <w:color w:val="203845"/>
          <w:sz w:val="26"/>
        </w:rPr>
        <w:t>PL 011 de 2025 Senado</w:t>
      </w:r>
    </w:p>
    <w:p>
      <w:pPr>
        <w:keepNext/>
        <w:spacing w:after="160"/>
      </w:pPr>
      <w:r>
        <w:rPr>
          <w:b/>
          <w:color w:val="203845"/>
          <w:sz w:val="19"/>
        </w:rPr>
        <w:t>Homenaje a los 208 años de la fundación de Achí, Bolívar</w:t>
      </w:r>
    </w:p>
    <w:tbl>
      <w:tblPr>
        <w:tblStyle w:val="TableGrid"/>
        <w:tblW w:type="auto" w:w="0"/>
        <w:jc w:val="center"/>
        <w:tblLayout w:type="fixed"/>
        <w:tblLook w:firstColumn="1" w:firstRow="1" w:lastColumn="0" w:lastRow="0" w:noHBand="0" w:noVBand="1" w:val="04A0"/>
      </w:tblPr>
      <w:tblGrid>
        <w:gridCol w:w="1757"/>
        <w:gridCol w:w="8164"/>
      </w:tblGrid>
      <w:tr>
        <w:tc>
          <w:tcPr>
            <w:tcW w:type="dxa" w:w="1757"/>
            <w:vAlign w:val="top"/>
            <w:shd w:fill="EFF2F3"/>
          </w:tcPr>
          <w:p>
            <w:pPr>
              <w:spacing w:after="0" w:line="252" w:lineRule="auto"/>
            </w:pPr>
            <w:r/>
            <w:r>
              <w:rPr>
                <w:rFonts w:ascii="Aptos" w:hAnsi="Aptos"/>
                <w:b/>
                <w:color w:val="6B7981"/>
                <w:sz w:val="15"/>
              </w:rPr>
              <w:t>TIPO DE LEY</w:t>
            </w:r>
          </w:p>
        </w:tc>
        <w:tc>
          <w:tcPr>
            <w:tcW w:type="dxa" w:w="7143"/>
            <w:vAlign w:val="top"/>
          </w:tcPr>
          <w:p>
            <w:pPr>
              <w:spacing w:after="0" w:line="252" w:lineRule="auto"/>
            </w:pPr>
            <w:r/>
            <w:r>
              <w:rPr>
                <w:rFonts w:ascii="Aptos" w:hAnsi="Aptos"/>
                <w:b w:val="0"/>
                <w:color w:val="1E2B33"/>
                <w:sz w:val="16"/>
              </w:rPr>
              <w:t>Ordinaria</w:t>
            </w:r>
          </w:p>
        </w:tc>
      </w:tr>
      <w:tr>
        <w:tc>
          <w:tcPr>
            <w:tcW w:type="dxa" w:w="1757"/>
            <w:vAlign w:val="top"/>
            <w:shd w:fill="EFF2F3"/>
          </w:tcPr>
          <w:p>
            <w:pPr>
              <w:spacing w:after="0" w:line="252" w:lineRule="auto"/>
            </w:pPr>
            <w:r/>
            <w:r>
              <w:rPr>
                <w:rFonts w:ascii="Aptos" w:hAnsi="Aptos"/>
                <w:b/>
                <w:color w:val="6B7981"/>
                <w:sz w:val="15"/>
              </w:rPr>
              <w:t>ESTADO DOCUMENTADO</w:t>
            </w:r>
          </w:p>
        </w:tc>
        <w:tc>
          <w:tcPr>
            <w:tcW w:type="dxa" w:w="7143"/>
            <w:vAlign w:val="top"/>
          </w:tcPr>
          <w:p>
            <w:pPr>
              <w:spacing w:after="0" w:line="252" w:lineRule="auto"/>
            </w:pPr>
            <w:r/>
            <w:r>
              <w:rPr>
                <w:rFonts w:ascii="Aptos" w:hAnsi="Aptos"/>
                <w:b w:val="0"/>
                <w:color w:val="1E2B33"/>
                <w:sz w:val="16"/>
              </w:rPr>
              <w:t>Último estado documentado: Segundo debate en plenaria del Senado; ponencia positiva, Gaceta 1288/2026. No se presume un resultado posterior al soporte consultado.</w:t>
            </w:r>
          </w:p>
        </w:tc>
      </w:tr>
      <w:tr>
        <w:tc>
          <w:tcPr>
            <w:tcW w:type="dxa" w:w="1757"/>
            <w:vAlign w:val="top"/>
            <w:shd w:fill="EFF2F3"/>
          </w:tcPr>
          <w:p>
            <w:pPr>
              <w:spacing w:after="0" w:line="252" w:lineRule="auto"/>
            </w:pPr>
            <w:r/>
            <w:r>
              <w:rPr>
                <w:rFonts w:ascii="Aptos" w:hAnsi="Aptos"/>
                <w:b/>
                <w:color w:val="6B7981"/>
                <w:sz w:val="15"/>
              </w:rPr>
              <w:t>ORIGEN</w:t>
            </w:r>
          </w:p>
        </w:tc>
        <w:tc>
          <w:tcPr>
            <w:tcW w:type="dxa" w:w="7143"/>
            <w:vAlign w:val="top"/>
          </w:tcPr>
          <w:p>
            <w:pPr>
              <w:spacing w:after="0" w:line="252" w:lineRule="auto"/>
            </w:pPr>
            <w:r/>
            <w:r>
              <w:rPr>
                <w:rFonts w:ascii="Aptos" w:hAnsi="Aptos"/>
                <w:b w:val="0"/>
                <w:color w:val="1E2B33"/>
                <w:sz w:val="16"/>
              </w:rPr>
              <w:t>Senado de la República · iniciativa congresional</w:t>
            </w:r>
          </w:p>
        </w:tc>
      </w:tr>
      <w:tr>
        <w:tc>
          <w:tcPr>
            <w:tcW w:type="dxa" w:w="1757"/>
            <w:vAlign w:val="top"/>
            <w:shd w:fill="EFF2F3"/>
          </w:tcPr>
          <w:p>
            <w:pPr>
              <w:spacing w:after="0" w:line="252" w:lineRule="auto"/>
            </w:pPr>
            <w:r/>
            <w:r>
              <w:rPr>
                <w:rFonts w:ascii="Aptos" w:hAnsi="Aptos"/>
                <w:b/>
                <w:color w:val="6B7981"/>
                <w:sz w:val="15"/>
              </w:rPr>
              <w:t>COMISIÓN</w:t>
            </w:r>
          </w:p>
        </w:tc>
        <w:tc>
          <w:tcPr>
            <w:tcW w:type="dxa" w:w="7143"/>
            <w:vAlign w:val="top"/>
          </w:tcPr>
          <w:p>
            <w:pPr>
              <w:spacing w:after="0" w:line="252" w:lineRule="auto"/>
            </w:pPr>
            <w:r/>
            <w:r>
              <w:rPr>
                <w:rFonts w:ascii="Aptos" w:hAnsi="Aptos"/>
                <w:b w:val="0"/>
                <w:color w:val="1E2B33"/>
                <w:sz w:val="16"/>
              </w:rPr>
              <w:t>Comisión Segunda del Senado · reparto informado en el portal; la etapa de esta ficha puede corresponder a plenaria</w:t>
            </w:r>
          </w:p>
        </w:tc>
      </w:tr>
      <w:tr>
        <w:tc>
          <w:tcPr>
            <w:tcW w:type="dxa" w:w="1757"/>
            <w:vAlign w:val="top"/>
            <w:shd w:fill="EFF2F3"/>
          </w:tcPr>
          <w:p>
            <w:pPr>
              <w:spacing w:after="0" w:line="252" w:lineRule="auto"/>
            </w:pPr>
            <w:r/>
            <w:r>
              <w:rPr>
                <w:rFonts w:ascii="Aptos" w:hAnsi="Aptos"/>
                <w:b/>
                <w:color w:val="6B7981"/>
                <w:sz w:val="15"/>
              </w:rPr>
              <w:t>ACTIVIDAD DE LA SESIÓN</w:t>
            </w:r>
          </w:p>
        </w:tc>
        <w:tc>
          <w:tcPr>
            <w:tcW w:type="dxa" w:w="7143"/>
            <w:vAlign w:val="top"/>
          </w:tcPr>
          <w:p>
            <w:pPr>
              <w:spacing w:after="0" w:line="252" w:lineRule="auto"/>
            </w:pPr>
            <w:r/>
            <w:r>
              <w:rPr>
                <w:rFonts w:ascii="Aptos" w:hAnsi="Aptos"/>
                <w:b w:val="0"/>
                <w:color w:val="1E2B33"/>
                <w:sz w:val="16"/>
              </w:rPr>
              <w:t>Plenaria del Senado del 27 de octubre de 2026, 15:00 hora de Bogotá. Citada. Discusión y votación previstas.</w:t>
            </w:r>
          </w:p>
        </w:tc>
      </w:tr>
      <w:tr>
        <w:tc>
          <w:tcPr>
            <w:tcW w:type="dxa" w:w="1757"/>
            <w:vAlign w:val="top"/>
            <w:shd w:fill="EFF2F3"/>
          </w:tcPr>
          <w:p>
            <w:pPr>
              <w:spacing w:after="0" w:line="252" w:lineRule="auto"/>
            </w:pPr>
            <w:r/>
            <w:r>
              <w:rPr>
                <w:rFonts w:ascii="Aptos" w:hAnsi="Aptos"/>
                <w:b/>
                <w:color w:val="6B7981"/>
                <w:sz w:val="15"/>
              </w:rPr>
              <w:t>EXPOSICIÓN DE MOTIVOS</w:t>
            </w:r>
          </w:p>
        </w:tc>
        <w:tc>
          <w:tcPr>
            <w:tcW w:type="dxa" w:w="7143"/>
            <w:vAlign w:val="top"/>
          </w:tcPr>
          <w:p>
            <w:pPr>
              <w:spacing w:after="0" w:line="252" w:lineRule="auto"/>
            </w:pPr>
            <w:r/>
            <w:r>
              <w:rPr>
                <w:rFonts w:ascii="Aptos" w:hAnsi="Aptos"/>
                <w:b w:val="0"/>
                <w:color w:val="1E2B33"/>
                <w:sz w:val="16"/>
              </w:rPr>
              <w:t>La autora fundamenta el homenaje en la trayectoria histórica de Achí, su formación como poblado y municipio y el aporte de sus habitantes. La conmemoración de los 208 años sirve de motivo para asociar a la Nación al reconocimiento y autorizar apoyos presupuestales para las actividades y obras propuestas.</w:t>
            </w:r>
          </w:p>
        </w:tc>
      </w:tr>
      <w:tr>
        <w:tc>
          <w:tcPr>
            <w:tcW w:type="dxa" w:w="1757"/>
            <w:vAlign w:val="top"/>
            <w:shd w:fill="EFF2F3"/>
          </w:tcPr>
          <w:p>
            <w:pPr>
              <w:spacing w:after="0" w:line="252" w:lineRule="auto"/>
            </w:pPr>
            <w:r/>
            <w:r>
              <w:rPr>
                <w:rFonts w:ascii="Aptos" w:hAnsi="Aptos"/>
                <w:b/>
                <w:color w:val="6B7981"/>
                <w:sz w:val="15"/>
              </w:rPr>
              <w:t>OBJETO DEL PROYECTO</w:t>
            </w:r>
          </w:p>
        </w:tc>
        <w:tc>
          <w:tcPr>
            <w:tcW w:type="dxa" w:w="7143"/>
            <w:vAlign w:val="top"/>
          </w:tcPr>
          <w:p>
            <w:pPr>
              <w:spacing w:after="0" w:line="252" w:lineRule="auto"/>
            </w:pPr>
            <w:r/>
            <w:r>
              <w:rPr>
                <w:rFonts w:ascii="Aptos" w:hAnsi="Aptos"/>
                <w:b w:val="0"/>
                <w:color w:val="1E2B33"/>
                <w:sz w:val="16"/>
              </w:rPr>
              <w:t>Rinde homenaje a los 208 años de Achí y autoriza incorporar recursos para palacio municipal, malecón, alcantarillado y nueva sede del Hospital San José. Las apropiaciones se sujetan a las reglas y disponibilidades presupuestales. Corresponde al texto inicial, no a la ponencia posterior.</w:t>
            </w:r>
          </w:p>
        </w:tc>
      </w:tr>
      <w:tr>
        <w:tc>
          <w:tcPr>
            <w:tcW w:type="dxa" w:w="1757"/>
            <w:vAlign w:val="top"/>
            <w:shd w:fill="EFF2F3"/>
          </w:tcPr>
          <w:p>
            <w:pPr>
              <w:spacing w:after="0" w:line="252" w:lineRule="auto"/>
            </w:pPr>
            <w:r/>
            <w:r>
              <w:rPr>
                <w:rFonts w:ascii="Aptos" w:hAnsi="Aptos"/>
                <w:b/>
                <w:color w:val="6B7981"/>
                <w:sz w:val="15"/>
              </w:rPr>
              <w:t>ANÁLISIS DOCUMENTAL</w:t>
            </w:r>
          </w:p>
        </w:tc>
        <w:tc>
          <w:tcPr>
            <w:tcW w:type="dxa" w:w="7143"/>
            <w:vAlign w:val="top"/>
          </w:tcPr>
          <w:p>
            <w:pPr>
              <w:spacing w:after="40" w:line="252" w:lineRule="auto"/>
            </w:pPr>
            <w:r/>
            <w:r>
              <w:rPr>
                <w:rFonts w:ascii="Aptos" w:hAnsi="Aptos"/>
                <w:b w:val="0"/>
                <w:color w:val="1E2B33"/>
                <w:sz w:val="16"/>
              </w:rPr>
              <w:t>La ponencia positiva propone asociar a la Nación y al Congreso a los 208 años de fundación de Achí y reconocer el aporte de sus habitantes. El texto para segundo debate autoriza al Gobierno a incorporar en el PGN y promover mediante cofinanciación proyectos de sede administrativa o palacio municipal, malecón, alcantarillado y nueva sede de la ESE Hospital San José de Achí. Las autorizaciones se incorporarían conforme a las normas orgánicas presupuestales, primero reasignando recursos existentes y luego según las disponibilidades de cada vigencia; no son apropiaciones automáticas ni obras ya financiadas.</w:t>
            </w:r>
          </w:p>
          <w:p>
            <w:pPr>
              <w:spacing w:after="0" w:line="252" w:lineRule="auto"/>
            </w:pPr>
            <w:r>
              <w:rPr>
                <w:rFonts w:ascii="Aptos" w:hAnsi="Aptos"/>
                <w:b w:val="0"/>
                <w:color w:val="1E2B33"/>
                <w:sz w:val="16"/>
              </w:rPr>
              <w:t>Ponente para segundo debate: Agmeth José Escaf Tijerino. Número de Cámara no indicado en el orden ni en la ponencia consultada.</w:t>
            </w:r>
          </w:p>
        </w:tc>
      </w:tr>
      <w:tr>
        <w:tc>
          <w:tcPr>
            <w:tcW w:type="dxa" w:w="1757"/>
            <w:vAlign w:val="top"/>
            <w:shd w:fill="EFF2F3"/>
          </w:tcPr>
          <w:p>
            <w:pPr>
              <w:spacing w:after="0" w:line="252" w:lineRule="auto"/>
            </w:pPr>
            <w:r/>
            <w:r>
              <w:rPr>
                <w:rFonts w:ascii="Aptos" w:hAnsi="Aptos"/>
                <w:b/>
                <w:color w:val="6B7981"/>
                <w:sz w:val="15"/>
              </w:rPr>
              <w:t>PONENTES</w:t>
            </w:r>
          </w:p>
        </w:tc>
        <w:tc>
          <w:tcPr>
            <w:tcW w:type="dxa" w:w="7143"/>
            <w:vAlign w:val="top"/>
          </w:tcPr>
          <w:p>
            <w:pPr>
              <w:spacing w:after="0" w:line="252" w:lineRule="auto"/>
            </w:pPr>
            <w:r/>
            <w:r>
              <w:rPr>
                <w:rFonts w:ascii="Aptos" w:hAnsi="Aptos"/>
                <w:b w:val="0"/>
                <w:color w:val="1E2B33"/>
                <w:sz w:val="16"/>
              </w:rPr>
              <w:t>Agmeth José Escaf Tijerino · ponente para segundo debate en Senado.</w:t>
            </w:r>
          </w:p>
        </w:tc>
      </w:tr>
      <w:tr>
        <w:tc>
          <w:tcPr>
            <w:tcW w:type="dxa" w:w="1757"/>
            <w:vAlign w:val="top"/>
            <w:shd w:fill="EFF2F3"/>
          </w:tcPr>
          <w:p>
            <w:pPr>
              <w:spacing w:after="0" w:line="252" w:lineRule="auto"/>
            </w:pPr>
            <w:r/>
            <w:r>
              <w:rPr>
                <w:rFonts w:ascii="Aptos" w:hAnsi="Aptos"/>
                <w:b/>
                <w:color w:val="6B7981"/>
                <w:sz w:val="15"/>
              </w:rPr>
              <w:t>SOPORTES IDENTIFICADOS</w:t>
            </w:r>
          </w:p>
        </w:tc>
        <w:tc>
          <w:tcPr>
            <w:tcW w:type="dxa" w:w="7143"/>
            <w:vAlign w:val="top"/>
          </w:tcPr>
          <w:p>
            <w:pPr>
              <w:spacing w:after="0" w:line="252" w:lineRule="auto"/>
            </w:pPr>
            <w:r/>
            <w:r>
              <w:rPr>
                <w:rFonts w:ascii="Aptos" w:hAnsi="Aptos"/>
                <w:b w:val="0"/>
                <w:color w:val="1E2B33"/>
                <w:sz w:val="16"/>
              </w:rPr>
              <w:t>Orden o soporte de sesión; Texto radicado; Ponencia o soporte actual; Fuente de ponentes. Consultar expediente digital para acceder a los documentos oficiales.</w:t>
            </w:r>
          </w:p>
        </w:tc>
      </w:tr>
      <w:tr>
        <w:tc>
          <w:tcPr>
            <w:tcW w:type="dxa" w:w="1757"/>
            <w:vAlign w:val="top"/>
            <w:shd w:fill="EFF2F3"/>
          </w:tcPr>
          <w:p>
            <w:pPr>
              <w:spacing w:after="0" w:line="252" w:lineRule="auto"/>
            </w:pPr>
            <w:r/>
            <w:r>
              <w:rPr>
                <w:rFonts w:ascii="Aptos" w:hAnsi="Aptos"/>
                <w:b/>
                <w:color w:val="6B7981"/>
                <w:sz w:val="15"/>
              </w:rPr>
              <w:t>NOTAS DE VERIFICACIÓN</w:t>
            </w:r>
          </w:p>
        </w:tc>
        <w:tc>
          <w:tcPr>
            <w:tcW w:type="dxa" w:w="7143"/>
            <w:vAlign w:val="top"/>
          </w:tcPr>
          <w:p>
            <w:pPr>
              <w:spacing w:after="40" w:line="252" w:lineRule="auto"/>
            </w:pPr>
            <w:r/>
            <w:r>
              <w:rPr>
                <w:rFonts w:ascii="Aptos" w:hAnsi="Aptos"/>
                <w:b w:val="0"/>
                <w:color w:val="1E2B33"/>
                <w:sz w:val="16"/>
              </w:rPr>
              <w:t>Texto radicado, Exposición de motivos y justificación, p. 4.</w:t>
            </w:r>
          </w:p>
          <w:p>
            <w:pPr>
              <w:spacing w:after="0" w:line="252" w:lineRule="auto"/>
            </w:pPr>
            <w:r>
              <w:rPr>
                <w:rFonts w:ascii="Aptos" w:hAnsi="Aptos"/>
                <w:b w:val="0"/>
                <w:color w:val="1E2B33"/>
                <w:sz w:val="16"/>
              </w:rPr>
              <w:t>Contenido de la sesión verificado el 25 de octubre de 2026. Texto radicado verificado el 20 de octubre de 2026.</w:t>
            </w:r>
          </w:p>
        </w:tc>
      </w:tr>
    </w:tbl>
    <w:p>
      <w:r>
        <w:br w:type="page"/>
      </w:r>
    </w:p>
    <w:p>
      <w:pPr>
        <w:keepNext/>
        <w:spacing w:before="100" w:after="100"/>
      </w:pPr>
      <w:r>
        <w:rPr>
          <w:b/>
          <w:color w:val="6B7981"/>
          <w:sz w:val="16"/>
        </w:rPr>
        <w:t>PLENARIA DEL SENADO · 27 DE OCTUBRE DE 2026   /   PROYECTO 4 DE 19</w:t>
      </w:r>
    </w:p>
    <w:p>
      <w:pPr>
        <w:keepNext/>
        <w:spacing w:after="100"/>
      </w:pPr>
      <w:r>
        <w:rPr>
          <w:b/>
          <w:color w:val="203845"/>
          <w:sz w:val="26"/>
        </w:rPr>
        <w:t>PL 197 de 2025 Senado</w:t>
      </w:r>
    </w:p>
    <w:p>
      <w:pPr>
        <w:keepNext/>
        <w:spacing w:after="160"/>
      </w:pPr>
      <w:r>
        <w:rPr>
          <w:b/>
          <w:color w:val="203845"/>
          <w:sz w:val="19"/>
        </w:rPr>
        <w:t>Patía · saberes ancestrales afrocolombianos</w:t>
      </w:r>
    </w:p>
    <w:tbl>
      <w:tblPr>
        <w:tblStyle w:val="TableGrid"/>
        <w:tblW w:type="auto" w:w="0"/>
        <w:jc w:val="center"/>
        <w:tblLayout w:type="fixed"/>
        <w:tblLook w:firstColumn="1" w:firstRow="1" w:lastColumn="0" w:lastRow="0" w:noHBand="0" w:noVBand="1" w:val="04A0"/>
      </w:tblPr>
      <w:tblGrid>
        <w:gridCol w:w="1757"/>
        <w:gridCol w:w="8164"/>
      </w:tblGrid>
      <w:tr>
        <w:tc>
          <w:tcPr>
            <w:tcW w:type="dxa" w:w="1757"/>
            <w:vAlign w:val="top"/>
            <w:shd w:fill="EFF2F3"/>
          </w:tcPr>
          <w:p>
            <w:pPr>
              <w:spacing w:after="0" w:line="252" w:lineRule="auto"/>
            </w:pPr>
            <w:r/>
            <w:r>
              <w:rPr>
                <w:rFonts w:ascii="Aptos" w:hAnsi="Aptos"/>
                <w:b/>
                <w:color w:val="6B7981"/>
                <w:sz w:val="15"/>
              </w:rPr>
              <w:t>TIPO DE LEY</w:t>
            </w:r>
          </w:p>
        </w:tc>
        <w:tc>
          <w:tcPr>
            <w:tcW w:type="dxa" w:w="7143"/>
            <w:vAlign w:val="top"/>
          </w:tcPr>
          <w:p>
            <w:pPr>
              <w:spacing w:after="0" w:line="252" w:lineRule="auto"/>
            </w:pPr>
            <w:r/>
            <w:r>
              <w:rPr>
                <w:rFonts w:ascii="Aptos" w:hAnsi="Aptos"/>
                <w:b w:val="0"/>
                <w:color w:val="1E2B33"/>
                <w:sz w:val="16"/>
              </w:rPr>
              <w:t>Ordinaria</w:t>
            </w:r>
          </w:p>
        </w:tc>
      </w:tr>
      <w:tr>
        <w:tc>
          <w:tcPr>
            <w:tcW w:type="dxa" w:w="1757"/>
            <w:vAlign w:val="top"/>
            <w:shd w:fill="EFF2F3"/>
          </w:tcPr>
          <w:p>
            <w:pPr>
              <w:spacing w:after="0" w:line="252" w:lineRule="auto"/>
            </w:pPr>
            <w:r/>
            <w:r>
              <w:rPr>
                <w:rFonts w:ascii="Aptos" w:hAnsi="Aptos"/>
                <w:b/>
                <w:color w:val="6B7981"/>
                <w:sz w:val="15"/>
              </w:rPr>
              <w:t>ESTADO DOCUMENTADO</w:t>
            </w:r>
          </w:p>
        </w:tc>
        <w:tc>
          <w:tcPr>
            <w:tcW w:type="dxa" w:w="7143"/>
            <w:vAlign w:val="top"/>
          </w:tcPr>
          <w:p>
            <w:pPr>
              <w:spacing w:after="0" w:line="252" w:lineRule="auto"/>
            </w:pPr>
            <w:r/>
            <w:r>
              <w:rPr>
                <w:rFonts w:ascii="Aptos" w:hAnsi="Aptos"/>
                <w:b w:val="0"/>
                <w:color w:val="1E2B33"/>
                <w:sz w:val="16"/>
              </w:rPr>
              <w:t>Último estado documentado: Segundo debate en plenaria del Senado. No se presume un resultado posterior al soporte consultado.</w:t>
            </w:r>
          </w:p>
        </w:tc>
      </w:tr>
      <w:tr>
        <w:tc>
          <w:tcPr>
            <w:tcW w:type="dxa" w:w="1757"/>
            <w:vAlign w:val="top"/>
            <w:shd w:fill="EFF2F3"/>
          </w:tcPr>
          <w:p>
            <w:pPr>
              <w:spacing w:after="0" w:line="252" w:lineRule="auto"/>
            </w:pPr>
            <w:r/>
            <w:r>
              <w:rPr>
                <w:rFonts w:ascii="Aptos" w:hAnsi="Aptos"/>
                <w:b/>
                <w:color w:val="6B7981"/>
                <w:sz w:val="15"/>
              </w:rPr>
              <w:t>ORIGEN</w:t>
            </w:r>
          </w:p>
        </w:tc>
        <w:tc>
          <w:tcPr>
            <w:tcW w:type="dxa" w:w="7143"/>
            <w:vAlign w:val="top"/>
          </w:tcPr>
          <w:p>
            <w:pPr>
              <w:spacing w:after="0" w:line="252" w:lineRule="auto"/>
            </w:pPr>
            <w:r/>
            <w:r>
              <w:rPr>
                <w:rFonts w:ascii="Aptos" w:hAnsi="Aptos"/>
                <w:b w:val="0"/>
                <w:color w:val="1E2B33"/>
                <w:sz w:val="16"/>
              </w:rPr>
              <w:t>Senado de la República · iniciativa congresional</w:t>
            </w:r>
          </w:p>
        </w:tc>
      </w:tr>
      <w:tr>
        <w:tc>
          <w:tcPr>
            <w:tcW w:type="dxa" w:w="1757"/>
            <w:vAlign w:val="top"/>
            <w:shd w:fill="EFF2F3"/>
          </w:tcPr>
          <w:p>
            <w:pPr>
              <w:spacing w:after="0" w:line="252" w:lineRule="auto"/>
            </w:pPr>
            <w:r/>
            <w:r>
              <w:rPr>
                <w:rFonts w:ascii="Aptos" w:hAnsi="Aptos"/>
                <w:b/>
                <w:color w:val="6B7981"/>
                <w:sz w:val="15"/>
              </w:rPr>
              <w:t>COMISIÓN</w:t>
            </w:r>
          </w:p>
        </w:tc>
        <w:tc>
          <w:tcPr>
            <w:tcW w:type="dxa" w:w="7143"/>
            <w:vAlign w:val="top"/>
          </w:tcPr>
          <w:p>
            <w:pPr>
              <w:spacing w:after="0" w:line="252" w:lineRule="auto"/>
            </w:pPr>
            <w:r/>
            <w:r>
              <w:rPr>
                <w:rFonts w:ascii="Aptos" w:hAnsi="Aptos"/>
                <w:b w:val="0"/>
                <w:color w:val="1E2B33"/>
                <w:sz w:val="16"/>
              </w:rPr>
              <w:t>Comisión Segunda del Senado · reparto informado en el portal; la etapa de esta ficha puede corresponder a plenaria</w:t>
            </w:r>
          </w:p>
        </w:tc>
      </w:tr>
      <w:tr>
        <w:tc>
          <w:tcPr>
            <w:tcW w:type="dxa" w:w="1757"/>
            <w:vAlign w:val="top"/>
            <w:shd w:fill="EFF2F3"/>
          </w:tcPr>
          <w:p>
            <w:pPr>
              <w:spacing w:after="0" w:line="252" w:lineRule="auto"/>
            </w:pPr>
            <w:r/>
            <w:r>
              <w:rPr>
                <w:rFonts w:ascii="Aptos" w:hAnsi="Aptos"/>
                <w:b/>
                <w:color w:val="6B7981"/>
                <w:sz w:val="15"/>
              </w:rPr>
              <w:t>ACTIVIDAD DE LA SESIÓN</w:t>
            </w:r>
          </w:p>
        </w:tc>
        <w:tc>
          <w:tcPr>
            <w:tcW w:type="dxa" w:w="7143"/>
            <w:vAlign w:val="top"/>
          </w:tcPr>
          <w:p>
            <w:pPr>
              <w:spacing w:after="0" w:line="252" w:lineRule="auto"/>
            </w:pPr>
            <w:r/>
            <w:r>
              <w:rPr>
                <w:rFonts w:ascii="Aptos" w:hAnsi="Aptos"/>
                <w:b w:val="0"/>
                <w:color w:val="1E2B33"/>
                <w:sz w:val="16"/>
              </w:rPr>
              <w:t>Plenaria del Senado del 27 de octubre de 2026, 15:00 hora de Bogotá. Citada. Discusión y votación previstas.</w:t>
            </w:r>
          </w:p>
        </w:tc>
      </w:tr>
      <w:tr>
        <w:tc>
          <w:tcPr>
            <w:tcW w:type="dxa" w:w="1757"/>
            <w:vAlign w:val="top"/>
            <w:shd w:fill="EFF2F3"/>
          </w:tcPr>
          <w:p>
            <w:pPr>
              <w:spacing w:after="0" w:line="252" w:lineRule="auto"/>
            </w:pPr>
            <w:r/>
            <w:r>
              <w:rPr>
                <w:rFonts w:ascii="Aptos" w:hAnsi="Aptos"/>
                <w:b/>
                <w:color w:val="6B7981"/>
                <w:sz w:val="15"/>
              </w:rPr>
              <w:t>EXPOSICIÓN DE MOTIVOS</w:t>
            </w:r>
          </w:p>
        </w:tc>
        <w:tc>
          <w:tcPr>
            <w:tcW w:type="dxa" w:w="7143"/>
            <w:vAlign w:val="top"/>
          </w:tcPr>
          <w:p>
            <w:pPr>
              <w:spacing w:after="0" w:line="252" w:lineRule="auto"/>
            </w:pPr>
            <w:r/>
            <w:r>
              <w:rPr>
                <w:rFonts w:ascii="Aptos" w:hAnsi="Aptos"/>
                <w:b w:val="0"/>
                <w:color w:val="1E2B33"/>
                <w:sz w:val="16"/>
              </w:rPr>
              <w:t>La exposición presenta al Patía como un territorio cuya memoria, prácticas comunitarias y saberes afrocolombianos han resistido la violencia y la exclusión. Justifica el reconocimiento cultural como instrumento de reconciliación, inclusión y desarrollo territorial con participación de las comunidades, además de su dimensión conmemorativa.</w:t>
            </w:r>
          </w:p>
        </w:tc>
      </w:tr>
      <w:tr>
        <w:tc>
          <w:tcPr>
            <w:tcW w:type="dxa" w:w="1757"/>
            <w:vAlign w:val="top"/>
            <w:shd w:fill="EFF2F3"/>
          </w:tcPr>
          <w:p>
            <w:pPr>
              <w:spacing w:after="0" w:line="252" w:lineRule="auto"/>
            </w:pPr>
            <w:r/>
            <w:r>
              <w:rPr>
                <w:rFonts w:ascii="Aptos" w:hAnsi="Aptos"/>
                <w:b/>
                <w:color w:val="6B7981"/>
                <w:sz w:val="15"/>
              </w:rPr>
              <w:t>OBJETO DEL PROYECTO</w:t>
            </w:r>
          </w:p>
        </w:tc>
        <w:tc>
          <w:tcPr>
            <w:tcW w:type="dxa" w:w="7143"/>
            <w:vAlign w:val="top"/>
          </w:tcPr>
          <w:p>
            <w:pPr>
              <w:spacing w:after="0" w:line="252" w:lineRule="auto"/>
            </w:pPr>
            <w:r/>
            <w:r>
              <w:rPr>
                <w:rFonts w:ascii="Aptos" w:hAnsi="Aptos"/>
                <w:b w:val="0"/>
                <w:color w:val="1E2B33"/>
                <w:sz w:val="16"/>
              </w:rPr>
              <w:t>Homenaje a Patía y a sus saberes afrocolombianos. Prevé trámite de patrimonio inmaterial, documental, parque de herencia afrocolombiana y maloca, festivales, mediateca, formación y protección de cuencas; financiación sujeta al marco presupuestal.</w:t>
            </w:r>
          </w:p>
        </w:tc>
      </w:tr>
      <w:tr>
        <w:tc>
          <w:tcPr>
            <w:tcW w:type="dxa" w:w="1757"/>
            <w:vAlign w:val="top"/>
            <w:shd w:fill="EFF2F3"/>
          </w:tcPr>
          <w:p>
            <w:pPr>
              <w:spacing w:after="0" w:line="252" w:lineRule="auto"/>
            </w:pPr>
            <w:r/>
            <w:r>
              <w:rPr>
                <w:rFonts w:ascii="Aptos" w:hAnsi="Aptos"/>
                <w:b/>
                <w:color w:val="6B7981"/>
                <w:sz w:val="15"/>
              </w:rPr>
              <w:t>ANÁLISIS DOCUMENTAL</w:t>
            </w:r>
          </w:p>
        </w:tc>
        <w:tc>
          <w:tcPr>
            <w:tcW w:type="dxa" w:w="7143"/>
            <w:vAlign w:val="top"/>
          </w:tcPr>
          <w:p>
            <w:pPr>
              <w:spacing w:after="0" w:line="252" w:lineRule="auto"/>
            </w:pPr>
            <w:r/>
            <w:r>
              <w:rPr>
                <w:rFonts w:ascii="Aptos" w:hAnsi="Aptos"/>
                <w:b w:val="0"/>
                <w:color w:val="1E2B33"/>
                <w:sz w:val="16"/>
              </w:rPr>
              <w:t>La ponencia 1324/2026 rinde homenaje a Patía como territorio de resistencia afrocolombiana, paz y cultura viva. Propone salvaguardia de saberes, trámite patrimonial, documental, parque y maloca, formación artística, festivales y protección de cuencas. Las autorizaciones de gasto dependen de reglas y disponibilidades presupuestales; no acreditan obras financiadas. Incluye reporte anual al Congreso sobre implementación.</w:t>
            </w:r>
          </w:p>
        </w:tc>
      </w:tr>
      <w:tr>
        <w:tc>
          <w:tcPr>
            <w:tcW w:type="dxa" w:w="1757"/>
            <w:vAlign w:val="top"/>
            <w:shd w:fill="EFF2F3"/>
          </w:tcPr>
          <w:p>
            <w:pPr>
              <w:spacing w:after="0" w:line="252" w:lineRule="auto"/>
            </w:pPr>
            <w:r/>
            <w:r>
              <w:rPr>
                <w:rFonts w:ascii="Aptos" w:hAnsi="Aptos"/>
                <w:b/>
                <w:color w:val="6B7981"/>
                <w:sz w:val="15"/>
              </w:rPr>
              <w:t>PONENTES</w:t>
            </w:r>
          </w:p>
        </w:tc>
        <w:tc>
          <w:tcPr>
            <w:tcW w:type="dxa" w:w="7143"/>
            <w:vAlign w:val="top"/>
          </w:tcPr>
          <w:p>
            <w:pPr>
              <w:spacing w:after="0" w:line="252" w:lineRule="auto"/>
            </w:pPr>
            <w:r/>
            <w:r>
              <w:rPr>
                <w:rFonts w:ascii="Aptos" w:hAnsi="Aptos"/>
                <w:b w:val="0"/>
                <w:color w:val="1E2B33"/>
                <w:sz w:val="16"/>
              </w:rPr>
              <w:t>Jesús Omero Cuasapud Chaspuengal · segundo debate en Senado.</w:t>
            </w:r>
          </w:p>
        </w:tc>
      </w:tr>
      <w:tr>
        <w:tc>
          <w:tcPr>
            <w:tcW w:type="dxa" w:w="1757"/>
            <w:vAlign w:val="top"/>
            <w:shd w:fill="EFF2F3"/>
          </w:tcPr>
          <w:p>
            <w:pPr>
              <w:spacing w:after="0" w:line="252" w:lineRule="auto"/>
            </w:pPr>
            <w:r/>
            <w:r>
              <w:rPr>
                <w:rFonts w:ascii="Aptos" w:hAnsi="Aptos"/>
                <w:b/>
                <w:color w:val="6B7981"/>
                <w:sz w:val="15"/>
              </w:rPr>
              <w:t>SOPORTES IDENTIFICADOS</w:t>
            </w:r>
          </w:p>
        </w:tc>
        <w:tc>
          <w:tcPr>
            <w:tcW w:type="dxa" w:w="7143"/>
            <w:vAlign w:val="top"/>
          </w:tcPr>
          <w:p>
            <w:pPr>
              <w:spacing w:after="0" w:line="252" w:lineRule="auto"/>
            </w:pPr>
            <w:r/>
            <w:r>
              <w:rPr>
                <w:rFonts w:ascii="Aptos" w:hAnsi="Aptos"/>
                <w:b w:val="0"/>
                <w:color w:val="1E2B33"/>
                <w:sz w:val="16"/>
              </w:rPr>
              <w:t>Orden o soporte de sesión; Texto radicado; Ponencia o soporte actual; Fuente de ponentes. Consultar expediente digital para acceder a los documentos oficiales.</w:t>
            </w:r>
          </w:p>
        </w:tc>
      </w:tr>
      <w:tr>
        <w:tc>
          <w:tcPr>
            <w:tcW w:type="dxa" w:w="1757"/>
            <w:vAlign w:val="top"/>
            <w:shd w:fill="EFF2F3"/>
          </w:tcPr>
          <w:p>
            <w:pPr>
              <w:spacing w:after="0" w:line="252" w:lineRule="auto"/>
            </w:pPr>
            <w:r/>
            <w:r>
              <w:rPr>
                <w:rFonts w:ascii="Aptos" w:hAnsi="Aptos"/>
                <w:b/>
                <w:color w:val="6B7981"/>
                <w:sz w:val="15"/>
              </w:rPr>
              <w:t>NOTAS DE VERIFICACIÓN</w:t>
            </w:r>
          </w:p>
        </w:tc>
        <w:tc>
          <w:tcPr>
            <w:tcW w:type="dxa" w:w="7143"/>
            <w:vAlign w:val="top"/>
          </w:tcPr>
          <w:p>
            <w:pPr>
              <w:spacing w:after="40" w:line="252" w:lineRule="auto"/>
            </w:pPr>
            <w:r/>
            <w:r>
              <w:rPr>
                <w:rFonts w:ascii="Aptos" w:hAnsi="Aptos"/>
                <w:b w:val="0"/>
                <w:color w:val="1E2B33"/>
                <w:sz w:val="16"/>
              </w:rPr>
              <w:t>Texto radicado, Exposición de motivos, introducción, p. 9.</w:t>
            </w:r>
          </w:p>
          <w:p>
            <w:pPr>
              <w:spacing w:after="0" w:line="252" w:lineRule="auto"/>
            </w:pPr>
            <w:r>
              <w:rPr>
                <w:rFonts w:ascii="Aptos" w:hAnsi="Aptos"/>
                <w:b w:val="0"/>
                <w:color w:val="1E2B33"/>
                <w:sz w:val="16"/>
              </w:rPr>
              <w:t>Contenido de la sesión verificado el 25 de octubre de 2026. Texto radicado verificado el 25 de octubre de 2026.</w:t>
            </w:r>
          </w:p>
        </w:tc>
      </w:tr>
    </w:tbl>
    <w:p>
      <w:r>
        <w:br w:type="page"/>
      </w:r>
    </w:p>
    <w:p>
      <w:pPr>
        <w:keepNext/>
        <w:spacing w:before="100" w:after="100"/>
      </w:pPr>
      <w:r>
        <w:rPr>
          <w:b/>
          <w:color w:val="6B7981"/>
          <w:sz w:val="16"/>
        </w:rPr>
        <w:t>PLENARIA DEL SENADO · 27 DE OCTUBRE DE 2026   /   PROYECTO 5 DE 19</w:t>
      </w:r>
    </w:p>
    <w:p>
      <w:pPr>
        <w:keepNext/>
        <w:spacing w:after="100"/>
      </w:pPr>
      <w:r>
        <w:rPr>
          <w:b/>
          <w:color w:val="203845"/>
          <w:sz w:val="26"/>
        </w:rPr>
        <w:t>PL 087 de 2026 Senado</w:t>
      </w:r>
    </w:p>
    <w:p>
      <w:pPr>
        <w:keepNext/>
        <w:spacing w:after="160"/>
      </w:pPr>
      <w:r>
        <w:rPr>
          <w:b/>
          <w:color w:val="203845"/>
          <w:sz w:val="19"/>
        </w:rPr>
        <w:t>Homenaje a San Benito Abad, Sucre</w:t>
      </w:r>
    </w:p>
    <w:tbl>
      <w:tblPr>
        <w:tblStyle w:val="TableGrid"/>
        <w:tblW w:type="auto" w:w="0"/>
        <w:jc w:val="center"/>
        <w:tblLayout w:type="fixed"/>
        <w:tblLook w:firstColumn="1" w:firstRow="1" w:lastColumn="0" w:lastRow="0" w:noHBand="0" w:noVBand="1" w:val="04A0"/>
      </w:tblPr>
      <w:tblGrid>
        <w:gridCol w:w="1757"/>
        <w:gridCol w:w="8164"/>
      </w:tblGrid>
      <w:tr>
        <w:tc>
          <w:tcPr>
            <w:tcW w:type="dxa" w:w="1757"/>
            <w:vAlign w:val="top"/>
            <w:shd w:fill="EFF2F3"/>
          </w:tcPr>
          <w:p>
            <w:pPr>
              <w:spacing w:after="0" w:line="252" w:lineRule="auto"/>
            </w:pPr>
            <w:r/>
            <w:r>
              <w:rPr>
                <w:rFonts w:ascii="Aptos" w:hAnsi="Aptos"/>
                <w:b/>
                <w:color w:val="6B7981"/>
                <w:sz w:val="15"/>
              </w:rPr>
              <w:t>TIPO DE LEY</w:t>
            </w:r>
          </w:p>
        </w:tc>
        <w:tc>
          <w:tcPr>
            <w:tcW w:type="dxa" w:w="7143"/>
            <w:vAlign w:val="top"/>
          </w:tcPr>
          <w:p>
            <w:pPr>
              <w:spacing w:after="0" w:line="252" w:lineRule="auto"/>
            </w:pPr>
            <w:r/>
            <w:r>
              <w:rPr>
                <w:rFonts w:ascii="Aptos" w:hAnsi="Aptos"/>
                <w:b w:val="0"/>
                <w:color w:val="1E2B33"/>
                <w:sz w:val="16"/>
              </w:rPr>
              <w:t>Ordinaria</w:t>
            </w:r>
          </w:p>
        </w:tc>
      </w:tr>
      <w:tr>
        <w:tc>
          <w:tcPr>
            <w:tcW w:type="dxa" w:w="1757"/>
            <w:vAlign w:val="top"/>
            <w:shd w:fill="EFF2F3"/>
          </w:tcPr>
          <w:p>
            <w:pPr>
              <w:spacing w:after="0" w:line="252" w:lineRule="auto"/>
            </w:pPr>
            <w:r/>
            <w:r>
              <w:rPr>
                <w:rFonts w:ascii="Aptos" w:hAnsi="Aptos"/>
                <w:b/>
                <w:color w:val="6B7981"/>
                <w:sz w:val="15"/>
              </w:rPr>
              <w:t>ESTADO DOCUMENTADO</w:t>
            </w:r>
          </w:p>
        </w:tc>
        <w:tc>
          <w:tcPr>
            <w:tcW w:type="dxa" w:w="7143"/>
            <w:vAlign w:val="top"/>
          </w:tcPr>
          <w:p>
            <w:pPr>
              <w:spacing w:after="0" w:line="252" w:lineRule="auto"/>
            </w:pPr>
            <w:r/>
            <w:r>
              <w:rPr>
                <w:rFonts w:ascii="Aptos" w:hAnsi="Aptos"/>
                <w:b w:val="0"/>
                <w:color w:val="1E2B33"/>
                <w:sz w:val="16"/>
              </w:rPr>
              <w:t>Último estado documentado: Segundo debate en plenaria del Senado. No se presume un resultado posterior al soporte consultado.</w:t>
            </w:r>
          </w:p>
        </w:tc>
      </w:tr>
      <w:tr>
        <w:tc>
          <w:tcPr>
            <w:tcW w:type="dxa" w:w="1757"/>
            <w:vAlign w:val="top"/>
            <w:shd w:fill="EFF2F3"/>
          </w:tcPr>
          <w:p>
            <w:pPr>
              <w:spacing w:after="0" w:line="252" w:lineRule="auto"/>
            </w:pPr>
            <w:r/>
            <w:r>
              <w:rPr>
                <w:rFonts w:ascii="Aptos" w:hAnsi="Aptos"/>
                <w:b/>
                <w:color w:val="6B7981"/>
                <w:sz w:val="15"/>
              </w:rPr>
              <w:t>ORIGEN</w:t>
            </w:r>
          </w:p>
        </w:tc>
        <w:tc>
          <w:tcPr>
            <w:tcW w:type="dxa" w:w="7143"/>
            <w:vAlign w:val="top"/>
          </w:tcPr>
          <w:p>
            <w:pPr>
              <w:spacing w:after="0" w:line="252" w:lineRule="auto"/>
            </w:pPr>
            <w:r/>
            <w:r>
              <w:rPr>
                <w:rFonts w:ascii="Aptos" w:hAnsi="Aptos"/>
                <w:b w:val="0"/>
                <w:color w:val="1E2B33"/>
                <w:sz w:val="16"/>
              </w:rPr>
              <w:t>Senado de la República · iniciativa congresional</w:t>
            </w:r>
          </w:p>
        </w:tc>
      </w:tr>
      <w:tr>
        <w:tc>
          <w:tcPr>
            <w:tcW w:type="dxa" w:w="1757"/>
            <w:vAlign w:val="top"/>
            <w:shd w:fill="EFF2F3"/>
          </w:tcPr>
          <w:p>
            <w:pPr>
              <w:spacing w:after="0" w:line="252" w:lineRule="auto"/>
            </w:pPr>
            <w:r/>
            <w:r>
              <w:rPr>
                <w:rFonts w:ascii="Aptos" w:hAnsi="Aptos"/>
                <w:b/>
                <w:color w:val="6B7981"/>
                <w:sz w:val="15"/>
              </w:rPr>
              <w:t>COMISIÓN</w:t>
            </w:r>
          </w:p>
        </w:tc>
        <w:tc>
          <w:tcPr>
            <w:tcW w:type="dxa" w:w="7143"/>
            <w:vAlign w:val="top"/>
          </w:tcPr>
          <w:p>
            <w:pPr>
              <w:spacing w:after="0" w:line="252" w:lineRule="auto"/>
            </w:pPr>
            <w:r/>
            <w:r>
              <w:rPr>
                <w:rFonts w:ascii="Aptos" w:hAnsi="Aptos"/>
                <w:b w:val="0"/>
                <w:color w:val="1E2B33"/>
                <w:sz w:val="16"/>
              </w:rPr>
              <w:t>Comisión Segunda del Senado · reparto informado en el portal; la etapa de esta ficha puede corresponder a plenaria</w:t>
            </w:r>
          </w:p>
        </w:tc>
      </w:tr>
      <w:tr>
        <w:tc>
          <w:tcPr>
            <w:tcW w:type="dxa" w:w="1757"/>
            <w:vAlign w:val="top"/>
            <w:shd w:fill="EFF2F3"/>
          </w:tcPr>
          <w:p>
            <w:pPr>
              <w:spacing w:after="0" w:line="252" w:lineRule="auto"/>
            </w:pPr>
            <w:r/>
            <w:r>
              <w:rPr>
                <w:rFonts w:ascii="Aptos" w:hAnsi="Aptos"/>
                <w:b/>
                <w:color w:val="6B7981"/>
                <w:sz w:val="15"/>
              </w:rPr>
              <w:t>ACTIVIDAD DE LA SESIÓN</w:t>
            </w:r>
          </w:p>
        </w:tc>
        <w:tc>
          <w:tcPr>
            <w:tcW w:type="dxa" w:w="7143"/>
            <w:vAlign w:val="top"/>
          </w:tcPr>
          <w:p>
            <w:pPr>
              <w:spacing w:after="0" w:line="252" w:lineRule="auto"/>
            </w:pPr>
            <w:r/>
            <w:r>
              <w:rPr>
                <w:rFonts w:ascii="Aptos" w:hAnsi="Aptos"/>
                <w:b w:val="0"/>
                <w:color w:val="1E2B33"/>
                <w:sz w:val="16"/>
              </w:rPr>
              <w:t>Plenaria del Senado del 27 de octubre de 2026, 15:00 hora de Bogotá. Citada. Discusión y votación previstas.</w:t>
            </w:r>
          </w:p>
        </w:tc>
      </w:tr>
      <w:tr>
        <w:tc>
          <w:tcPr>
            <w:tcW w:type="dxa" w:w="1757"/>
            <w:vAlign w:val="top"/>
            <w:shd w:fill="EFF2F3"/>
          </w:tcPr>
          <w:p>
            <w:pPr>
              <w:spacing w:after="0" w:line="252" w:lineRule="auto"/>
            </w:pPr>
            <w:r/>
            <w:r>
              <w:rPr>
                <w:rFonts w:ascii="Aptos" w:hAnsi="Aptos"/>
                <w:b/>
                <w:color w:val="6B7981"/>
                <w:sz w:val="15"/>
              </w:rPr>
              <w:t>EXPOSICIÓN DE MOTIVOS</w:t>
            </w:r>
          </w:p>
        </w:tc>
        <w:tc>
          <w:tcPr>
            <w:tcW w:type="dxa" w:w="7143"/>
            <w:vAlign w:val="top"/>
          </w:tcPr>
          <w:p>
            <w:pPr>
              <w:spacing w:after="0" w:line="252" w:lineRule="auto"/>
            </w:pPr>
            <w:r/>
            <w:r>
              <w:rPr>
                <w:rFonts w:ascii="Aptos" w:hAnsi="Aptos"/>
                <w:b w:val="0"/>
                <w:color w:val="1E2B33"/>
                <w:sz w:val="16"/>
              </w:rPr>
              <w:t>La exposición sustenta el homenaje en la importancia histórica, económica y cultural de San Benito Abad y en la facultad del Congreso para reconocer ese patrimonio y autorizar inversiones de interés público. Vincula la conmemoración con infraestructura y bienestar de la población, sujetos a las condiciones presupuestales del proyecto.</w:t>
            </w:r>
          </w:p>
        </w:tc>
      </w:tr>
      <w:tr>
        <w:tc>
          <w:tcPr>
            <w:tcW w:type="dxa" w:w="1757"/>
            <w:vAlign w:val="top"/>
            <w:shd w:fill="EFF2F3"/>
          </w:tcPr>
          <w:p>
            <w:pPr>
              <w:spacing w:after="0" w:line="252" w:lineRule="auto"/>
            </w:pPr>
            <w:r/>
            <w:r>
              <w:rPr>
                <w:rFonts w:ascii="Aptos" w:hAnsi="Aptos"/>
                <w:b/>
                <w:color w:val="6B7981"/>
                <w:sz w:val="15"/>
              </w:rPr>
              <w:t>OBJETO DEL PROYECTO</w:t>
            </w:r>
          </w:p>
        </w:tc>
        <w:tc>
          <w:tcPr>
            <w:tcW w:type="dxa" w:w="7143"/>
            <w:vAlign w:val="top"/>
          </w:tcPr>
          <w:p>
            <w:pPr>
              <w:spacing w:after="0" w:line="252" w:lineRule="auto"/>
            </w:pPr>
            <w:r/>
            <w:r>
              <w:rPr>
                <w:rFonts w:ascii="Aptos" w:hAnsi="Aptos"/>
                <w:b w:val="0"/>
                <w:color w:val="1E2B33"/>
                <w:sz w:val="16"/>
              </w:rPr>
              <w:t>Reconoce la importancia histórica, económica y cultural de San Benito Abad. Autoriza partidas para muelle turístico, hospital y vías terciarias, sin afectar sostenibilidad fiscal y conforme a disponibilidad presupuestal.</w:t>
            </w:r>
          </w:p>
        </w:tc>
      </w:tr>
      <w:tr>
        <w:tc>
          <w:tcPr>
            <w:tcW w:type="dxa" w:w="1757"/>
            <w:vAlign w:val="top"/>
            <w:shd w:fill="EFF2F3"/>
          </w:tcPr>
          <w:p>
            <w:pPr>
              <w:spacing w:after="0" w:line="252" w:lineRule="auto"/>
            </w:pPr>
            <w:r/>
            <w:r>
              <w:rPr>
                <w:rFonts w:ascii="Aptos" w:hAnsi="Aptos"/>
                <w:b/>
                <w:color w:val="6B7981"/>
                <w:sz w:val="15"/>
              </w:rPr>
              <w:t>ANÁLISIS DOCUMENTAL</w:t>
            </w:r>
          </w:p>
        </w:tc>
        <w:tc>
          <w:tcPr>
            <w:tcW w:type="dxa" w:w="7143"/>
            <w:vAlign w:val="top"/>
          </w:tcPr>
          <w:p>
            <w:pPr>
              <w:spacing w:after="0" w:line="252" w:lineRule="auto"/>
            </w:pPr>
            <w:r/>
            <w:r>
              <w:rPr>
                <w:rFonts w:ascii="Aptos" w:hAnsi="Aptos"/>
                <w:b w:val="0"/>
                <w:color w:val="1E2B33"/>
                <w:sz w:val="16"/>
              </w:rPr>
              <w:t>La Gaceta 1378/2026 incluye la ponencia de reconocimiento a San Benito Abad y proyectos de muelle turístico, infraestructura hospitalaria y vías terciarias. Las autorizaciones de gasto se sujetan a normas presupuestales, disponibilidades y posibles aportes territoriales o privados; no son apropiaciones automáticas. El nombre del archivo inicial contiene la errata «ABAB».</w:t>
            </w:r>
          </w:p>
        </w:tc>
      </w:tr>
      <w:tr>
        <w:tc>
          <w:tcPr>
            <w:tcW w:type="dxa" w:w="1757"/>
            <w:vAlign w:val="top"/>
            <w:shd w:fill="EFF2F3"/>
          </w:tcPr>
          <w:p>
            <w:pPr>
              <w:spacing w:after="0" w:line="252" w:lineRule="auto"/>
            </w:pPr>
            <w:r/>
            <w:r>
              <w:rPr>
                <w:rFonts w:ascii="Aptos" w:hAnsi="Aptos"/>
                <w:b/>
                <w:color w:val="6B7981"/>
                <w:sz w:val="15"/>
              </w:rPr>
              <w:t>PONENTES</w:t>
            </w:r>
          </w:p>
        </w:tc>
        <w:tc>
          <w:tcPr>
            <w:tcW w:type="dxa" w:w="7143"/>
            <w:vAlign w:val="top"/>
          </w:tcPr>
          <w:p>
            <w:pPr>
              <w:spacing w:after="0" w:line="252" w:lineRule="auto"/>
            </w:pPr>
            <w:r/>
            <w:r>
              <w:rPr>
                <w:rFonts w:ascii="Aptos" w:hAnsi="Aptos"/>
                <w:b w:val="0"/>
                <w:color w:val="1E2B33"/>
                <w:sz w:val="16"/>
              </w:rPr>
              <w:t>Antonio José Correa Jiménez · segundo debate en Senado.</w:t>
            </w:r>
          </w:p>
        </w:tc>
      </w:tr>
      <w:tr>
        <w:tc>
          <w:tcPr>
            <w:tcW w:type="dxa" w:w="1757"/>
            <w:vAlign w:val="top"/>
            <w:shd w:fill="EFF2F3"/>
          </w:tcPr>
          <w:p>
            <w:pPr>
              <w:spacing w:after="0" w:line="252" w:lineRule="auto"/>
            </w:pPr>
            <w:r/>
            <w:r>
              <w:rPr>
                <w:rFonts w:ascii="Aptos" w:hAnsi="Aptos"/>
                <w:b/>
                <w:color w:val="6B7981"/>
                <w:sz w:val="15"/>
              </w:rPr>
              <w:t>SOPORTES IDENTIFICADOS</w:t>
            </w:r>
          </w:p>
        </w:tc>
        <w:tc>
          <w:tcPr>
            <w:tcW w:type="dxa" w:w="7143"/>
            <w:vAlign w:val="top"/>
          </w:tcPr>
          <w:p>
            <w:pPr>
              <w:spacing w:after="0" w:line="252" w:lineRule="auto"/>
            </w:pPr>
            <w:r/>
            <w:r>
              <w:rPr>
                <w:rFonts w:ascii="Aptos" w:hAnsi="Aptos"/>
                <w:b w:val="0"/>
                <w:color w:val="1E2B33"/>
                <w:sz w:val="16"/>
              </w:rPr>
              <w:t>Orden o soporte de sesión; Texto radicado; Ponencia o soporte actual; Fuente de ponentes. Consultar expediente digital para acceder a los documentos oficiales.</w:t>
            </w:r>
          </w:p>
        </w:tc>
      </w:tr>
      <w:tr>
        <w:tc>
          <w:tcPr>
            <w:tcW w:type="dxa" w:w="1757"/>
            <w:vAlign w:val="top"/>
            <w:shd w:fill="EFF2F3"/>
          </w:tcPr>
          <w:p>
            <w:pPr>
              <w:spacing w:after="0" w:line="252" w:lineRule="auto"/>
            </w:pPr>
            <w:r/>
            <w:r>
              <w:rPr>
                <w:rFonts w:ascii="Aptos" w:hAnsi="Aptos"/>
                <w:b/>
                <w:color w:val="6B7981"/>
                <w:sz w:val="15"/>
              </w:rPr>
              <w:t>NOTAS DE VERIFICACIÓN</w:t>
            </w:r>
          </w:p>
        </w:tc>
        <w:tc>
          <w:tcPr>
            <w:tcW w:type="dxa" w:w="7143"/>
            <w:vAlign w:val="top"/>
          </w:tcPr>
          <w:p>
            <w:pPr>
              <w:spacing w:after="40" w:line="252" w:lineRule="auto"/>
            </w:pPr>
            <w:r/>
            <w:r>
              <w:rPr>
                <w:rFonts w:ascii="Aptos" w:hAnsi="Aptos"/>
                <w:b w:val="0"/>
                <w:color w:val="1E2B33"/>
                <w:sz w:val="16"/>
              </w:rPr>
              <w:t>Texto radicado, Exposición de motivos y fundamentos jurídicos, p. 4.</w:t>
            </w:r>
          </w:p>
          <w:p>
            <w:pPr>
              <w:spacing w:after="0" w:line="252" w:lineRule="auto"/>
            </w:pPr>
            <w:r>
              <w:rPr>
                <w:rFonts w:ascii="Aptos" w:hAnsi="Aptos"/>
                <w:b w:val="0"/>
                <w:color w:val="1E2B33"/>
                <w:sz w:val="16"/>
              </w:rPr>
              <w:t>Contenido de la sesión verificado el 25 de octubre de 2026. Texto radicado verificado el 25 de octubre de 2026.</w:t>
            </w:r>
          </w:p>
        </w:tc>
      </w:tr>
    </w:tbl>
    <w:p>
      <w:r>
        <w:br w:type="page"/>
      </w:r>
    </w:p>
    <w:p>
      <w:pPr>
        <w:keepNext/>
        <w:spacing w:before="100" w:after="100"/>
      </w:pPr>
      <w:r>
        <w:rPr>
          <w:b/>
          <w:color w:val="6B7981"/>
          <w:sz w:val="16"/>
        </w:rPr>
        <w:t>PLENARIA DEL SENADO · 27 DE OCTUBRE DE 2026   /   PROYECTO 6 DE 19</w:t>
      </w:r>
    </w:p>
    <w:p>
      <w:pPr>
        <w:keepNext/>
        <w:spacing w:after="100"/>
      </w:pPr>
      <w:r>
        <w:rPr>
          <w:b/>
          <w:color w:val="203845"/>
          <w:sz w:val="26"/>
        </w:rPr>
        <w:t>PL 088 de 2026 Senado</w:t>
      </w:r>
    </w:p>
    <w:p>
      <w:pPr>
        <w:keepNext/>
        <w:spacing w:after="160"/>
      </w:pPr>
      <w:r>
        <w:rPr>
          <w:b/>
          <w:color w:val="203845"/>
          <w:sz w:val="19"/>
        </w:rPr>
        <w:t>Lorica y San Sebastián · barro y pintura primitivista</w:t>
      </w:r>
    </w:p>
    <w:tbl>
      <w:tblPr>
        <w:tblStyle w:val="TableGrid"/>
        <w:tblW w:type="auto" w:w="0"/>
        <w:jc w:val="center"/>
        <w:tblLayout w:type="fixed"/>
        <w:tblLook w:firstColumn="1" w:firstRow="1" w:lastColumn="0" w:lastRow="0" w:noHBand="0" w:noVBand="1" w:val="04A0"/>
      </w:tblPr>
      <w:tblGrid>
        <w:gridCol w:w="1757"/>
        <w:gridCol w:w="8164"/>
      </w:tblGrid>
      <w:tr>
        <w:tc>
          <w:tcPr>
            <w:tcW w:type="dxa" w:w="1757"/>
            <w:vAlign w:val="top"/>
            <w:shd w:fill="EFF2F3"/>
          </w:tcPr>
          <w:p>
            <w:pPr>
              <w:spacing w:after="0" w:line="252" w:lineRule="auto"/>
            </w:pPr>
            <w:r/>
            <w:r>
              <w:rPr>
                <w:rFonts w:ascii="Aptos" w:hAnsi="Aptos"/>
                <w:b/>
                <w:color w:val="6B7981"/>
                <w:sz w:val="15"/>
              </w:rPr>
              <w:t>TIPO DE LEY</w:t>
            </w:r>
          </w:p>
        </w:tc>
        <w:tc>
          <w:tcPr>
            <w:tcW w:type="dxa" w:w="7143"/>
            <w:vAlign w:val="top"/>
          </w:tcPr>
          <w:p>
            <w:pPr>
              <w:spacing w:after="0" w:line="252" w:lineRule="auto"/>
            </w:pPr>
            <w:r/>
            <w:r>
              <w:rPr>
                <w:rFonts w:ascii="Aptos" w:hAnsi="Aptos"/>
                <w:b w:val="0"/>
                <w:color w:val="1E2B33"/>
                <w:sz w:val="16"/>
              </w:rPr>
              <w:t>Ordinaria</w:t>
            </w:r>
          </w:p>
        </w:tc>
      </w:tr>
      <w:tr>
        <w:tc>
          <w:tcPr>
            <w:tcW w:type="dxa" w:w="1757"/>
            <w:vAlign w:val="top"/>
            <w:shd w:fill="EFF2F3"/>
          </w:tcPr>
          <w:p>
            <w:pPr>
              <w:spacing w:after="0" w:line="252" w:lineRule="auto"/>
            </w:pPr>
            <w:r/>
            <w:r>
              <w:rPr>
                <w:rFonts w:ascii="Aptos" w:hAnsi="Aptos"/>
                <w:b/>
                <w:color w:val="6B7981"/>
                <w:sz w:val="15"/>
              </w:rPr>
              <w:t>ESTADO DOCUMENTADO</w:t>
            </w:r>
          </w:p>
        </w:tc>
        <w:tc>
          <w:tcPr>
            <w:tcW w:type="dxa" w:w="7143"/>
            <w:vAlign w:val="top"/>
          </w:tcPr>
          <w:p>
            <w:pPr>
              <w:spacing w:after="0" w:line="252" w:lineRule="auto"/>
            </w:pPr>
            <w:r/>
            <w:r>
              <w:rPr>
                <w:rFonts w:ascii="Aptos" w:hAnsi="Aptos"/>
                <w:b w:val="0"/>
                <w:color w:val="1E2B33"/>
                <w:sz w:val="16"/>
              </w:rPr>
              <w:t>Último estado documentado: Segundo debate en plenaria del Senado. No se presume un resultado posterior al soporte consultado.</w:t>
            </w:r>
          </w:p>
        </w:tc>
      </w:tr>
      <w:tr>
        <w:tc>
          <w:tcPr>
            <w:tcW w:type="dxa" w:w="1757"/>
            <w:vAlign w:val="top"/>
            <w:shd w:fill="EFF2F3"/>
          </w:tcPr>
          <w:p>
            <w:pPr>
              <w:spacing w:after="0" w:line="252" w:lineRule="auto"/>
            </w:pPr>
            <w:r/>
            <w:r>
              <w:rPr>
                <w:rFonts w:ascii="Aptos" w:hAnsi="Aptos"/>
                <w:b/>
                <w:color w:val="6B7981"/>
                <w:sz w:val="15"/>
              </w:rPr>
              <w:t>ORIGEN</w:t>
            </w:r>
          </w:p>
        </w:tc>
        <w:tc>
          <w:tcPr>
            <w:tcW w:type="dxa" w:w="7143"/>
            <w:vAlign w:val="top"/>
          </w:tcPr>
          <w:p>
            <w:pPr>
              <w:spacing w:after="0" w:line="252" w:lineRule="auto"/>
            </w:pPr>
            <w:r/>
            <w:r>
              <w:rPr>
                <w:rFonts w:ascii="Aptos" w:hAnsi="Aptos"/>
                <w:b w:val="0"/>
                <w:color w:val="1E2B33"/>
                <w:sz w:val="16"/>
              </w:rPr>
              <w:t>Senado de la República · iniciativa congresional</w:t>
            </w:r>
          </w:p>
        </w:tc>
      </w:tr>
      <w:tr>
        <w:tc>
          <w:tcPr>
            <w:tcW w:type="dxa" w:w="1757"/>
            <w:vAlign w:val="top"/>
            <w:shd w:fill="EFF2F3"/>
          </w:tcPr>
          <w:p>
            <w:pPr>
              <w:spacing w:after="0" w:line="252" w:lineRule="auto"/>
            </w:pPr>
            <w:r/>
            <w:r>
              <w:rPr>
                <w:rFonts w:ascii="Aptos" w:hAnsi="Aptos"/>
                <w:b/>
                <w:color w:val="6B7981"/>
                <w:sz w:val="15"/>
              </w:rPr>
              <w:t>COMISIÓN</w:t>
            </w:r>
          </w:p>
        </w:tc>
        <w:tc>
          <w:tcPr>
            <w:tcW w:type="dxa" w:w="7143"/>
            <w:vAlign w:val="top"/>
          </w:tcPr>
          <w:p>
            <w:pPr>
              <w:spacing w:after="0" w:line="252" w:lineRule="auto"/>
            </w:pPr>
            <w:r/>
            <w:r>
              <w:rPr>
                <w:rFonts w:ascii="Aptos" w:hAnsi="Aptos"/>
                <w:b w:val="0"/>
                <w:color w:val="1E2B33"/>
                <w:sz w:val="16"/>
              </w:rPr>
              <w:t>Comisión Segunda del Senado · reparto informado en el portal; la etapa de esta ficha puede corresponder a plenaria</w:t>
            </w:r>
          </w:p>
        </w:tc>
      </w:tr>
      <w:tr>
        <w:tc>
          <w:tcPr>
            <w:tcW w:type="dxa" w:w="1757"/>
            <w:vAlign w:val="top"/>
            <w:shd w:fill="EFF2F3"/>
          </w:tcPr>
          <w:p>
            <w:pPr>
              <w:spacing w:after="0" w:line="252" w:lineRule="auto"/>
            </w:pPr>
            <w:r/>
            <w:r>
              <w:rPr>
                <w:rFonts w:ascii="Aptos" w:hAnsi="Aptos"/>
                <w:b/>
                <w:color w:val="6B7981"/>
                <w:sz w:val="15"/>
              </w:rPr>
              <w:t>ACTIVIDAD DE LA SESIÓN</w:t>
            </w:r>
          </w:p>
        </w:tc>
        <w:tc>
          <w:tcPr>
            <w:tcW w:type="dxa" w:w="7143"/>
            <w:vAlign w:val="top"/>
          </w:tcPr>
          <w:p>
            <w:pPr>
              <w:spacing w:after="0" w:line="252" w:lineRule="auto"/>
            </w:pPr>
            <w:r/>
            <w:r>
              <w:rPr>
                <w:rFonts w:ascii="Aptos" w:hAnsi="Aptos"/>
                <w:b w:val="0"/>
                <w:color w:val="1E2B33"/>
                <w:sz w:val="16"/>
              </w:rPr>
              <w:t>Plenaria del Senado del 27 de octubre de 2026, 15:00 hora de Bogotá. Citada. Discusión y votación previstas.</w:t>
            </w:r>
          </w:p>
        </w:tc>
      </w:tr>
      <w:tr>
        <w:tc>
          <w:tcPr>
            <w:tcW w:type="dxa" w:w="1757"/>
            <w:vAlign w:val="top"/>
            <w:shd w:fill="EFF2F3"/>
          </w:tcPr>
          <w:p>
            <w:pPr>
              <w:spacing w:after="0" w:line="252" w:lineRule="auto"/>
            </w:pPr>
            <w:r/>
            <w:r>
              <w:rPr>
                <w:rFonts w:ascii="Aptos" w:hAnsi="Aptos"/>
                <w:b/>
                <w:color w:val="6B7981"/>
                <w:sz w:val="15"/>
              </w:rPr>
              <w:t>EXPOSICIÓN DE MOTIVOS</w:t>
            </w:r>
          </w:p>
        </w:tc>
        <w:tc>
          <w:tcPr>
            <w:tcW w:type="dxa" w:w="7143"/>
            <w:vAlign w:val="top"/>
          </w:tcPr>
          <w:p>
            <w:pPr>
              <w:spacing w:after="0" w:line="252" w:lineRule="auto"/>
            </w:pPr>
            <w:r/>
            <w:r>
              <w:rPr>
                <w:rFonts w:ascii="Aptos" w:hAnsi="Aptos"/>
                <w:b w:val="0"/>
                <w:color w:val="1E2B33"/>
                <w:sz w:val="16"/>
              </w:rPr>
              <w:t>La exposición resalta la alfarería y la pintura primitivista de San Sebastián y Lorica como oficios vinculados al patrimonio y al sustento de sus artesanos. Justifica medidas de reconocimiento, transmisión de técnicas a nuevas generaciones y promoción económica de la actividad artesanal, con preservación cultural y ambiental.</w:t>
            </w:r>
          </w:p>
        </w:tc>
      </w:tr>
      <w:tr>
        <w:tc>
          <w:tcPr>
            <w:tcW w:type="dxa" w:w="1757"/>
            <w:vAlign w:val="top"/>
            <w:shd w:fill="EFF2F3"/>
          </w:tcPr>
          <w:p>
            <w:pPr>
              <w:spacing w:after="0" w:line="252" w:lineRule="auto"/>
            </w:pPr>
            <w:r/>
            <w:r>
              <w:rPr>
                <w:rFonts w:ascii="Aptos" w:hAnsi="Aptos"/>
                <w:b/>
                <w:color w:val="6B7981"/>
                <w:sz w:val="15"/>
              </w:rPr>
              <w:t>OBJETO DEL PROYECTO</w:t>
            </w:r>
          </w:p>
        </w:tc>
        <w:tc>
          <w:tcPr>
            <w:tcW w:type="dxa" w:w="7143"/>
            <w:vAlign w:val="top"/>
          </w:tcPr>
          <w:p>
            <w:pPr>
              <w:spacing w:after="0" w:line="252" w:lineRule="auto"/>
            </w:pPr>
            <w:r/>
            <w:r>
              <w:rPr>
                <w:rFonts w:ascii="Aptos" w:hAnsi="Aptos"/>
                <w:b w:val="0"/>
                <w:color w:val="1E2B33"/>
                <w:sz w:val="16"/>
              </w:rPr>
              <w:t>Exalta a Lorica y San Sebastián por artesanías de barro y pintura primitivista; reconoce a Marcial Alegría, propone día conmemorativo y centro cultural, formación y apoyos para artesanos sujetos a disponibilidad presupuestal.</w:t>
            </w:r>
          </w:p>
        </w:tc>
      </w:tr>
      <w:tr>
        <w:tc>
          <w:tcPr>
            <w:tcW w:type="dxa" w:w="1757"/>
            <w:vAlign w:val="top"/>
            <w:shd w:fill="EFF2F3"/>
          </w:tcPr>
          <w:p>
            <w:pPr>
              <w:spacing w:after="0" w:line="252" w:lineRule="auto"/>
            </w:pPr>
            <w:r/>
            <w:r>
              <w:rPr>
                <w:rFonts w:ascii="Aptos" w:hAnsi="Aptos"/>
                <w:b/>
                <w:color w:val="6B7981"/>
                <w:sz w:val="15"/>
              </w:rPr>
              <w:t>ANÁLISIS DOCUMENTAL</w:t>
            </w:r>
          </w:p>
        </w:tc>
        <w:tc>
          <w:tcPr>
            <w:tcW w:type="dxa" w:w="7143"/>
            <w:vAlign w:val="top"/>
          </w:tcPr>
          <w:p>
            <w:pPr>
              <w:spacing w:after="0" w:line="252" w:lineRule="auto"/>
            </w:pPr>
            <w:r/>
            <w:r>
              <w:rPr>
                <w:rFonts w:ascii="Aptos" w:hAnsi="Aptos"/>
                <w:b w:val="0"/>
                <w:color w:val="1E2B33"/>
                <w:sz w:val="16"/>
              </w:rPr>
              <w:t>La ponencia 1378/2026 exalta a Lorica y San Sebastián, reconoce a Marcial Alegría Garcés, propone conmemoración del 20 de marzo y centro cultural en su casa, formación, exhibición, talleres y productividad artesanal. Contempla apoyos a artesanos vulnerables, formalización y veeduría ciudadana. Las autorizaciones presupuestales no acreditan subsidios ya asignados.</w:t>
            </w:r>
          </w:p>
        </w:tc>
      </w:tr>
      <w:tr>
        <w:tc>
          <w:tcPr>
            <w:tcW w:type="dxa" w:w="1757"/>
            <w:vAlign w:val="top"/>
            <w:shd w:fill="EFF2F3"/>
          </w:tcPr>
          <w:p>
            <w:pPr>
              <w:spacing w:after="0" w:line="252" w:lineRule="auto"/>
            </w:pPr>
            <w:r/>
            <w:r>
              <w:rPr>
                <w:rFonts w:ascii="Aptos" w:hAnsi="Aptos"/>
                <w:b/>
                <w:color w:val="6B7981"/>
                <w:sz w:val="15"/>
              </w:rPr>
              <w:t>PONENTES</w:t>
            </w:r>
          </w:p>
        </w:tc>
        <w:tc>
          <w:tcPr>
            <w:tcW w:type="dxa" w:w="7143"/>
            <w:vAlign w:val="top"/>
          </w:tcPr>
          <w:p>
            <w:pPr>
              <w:spacing w:after="0" w:line="252" w:lineRule="auto"/>
            </w:pPr>
            <w:r/>
            <w:r>
              <w:rPr>
                <w:rFonts w:ascii="Aptos" w:hAnsi="Aptos"/>
                <w:b w:val="0"/>
                <w:color w:val="1E2B33"/>
                <w:sz w:val="16"/>
              </w:rPr>
              <w:t>Antonio José Correa Jiménez · segundo debate en Senado.</w:t>
            </w:r>
          </w:p>
        </w:tc>
      </w:tr>
      <w:tr>
        <w:tc>
          <w:tcPr>
            <w:tcW w:type="dxa" w:w="1757"/>
            <w:vAlign w:val="top"/>
            <w:shd w:fill="EFF2F3"/>
          </w:tcPr>
          <w:p>
            <w:pPr>
              <w:spacing w:after="0" w:line="252" w:lineRule="auto"/>
            </w:pPr>
            <w:r/>
            <w:r>
              <w:rPr>
                <w:rFonts w:ascii="Aptos" w:hAnsi="Aptos"/>
                <w:b/>
                <w:color w:val="6B7981"/>
                <w:sz w:val="15"/>
              </w:rPr>
              <w:t>SOPORTES IDENTIFICADOS</w:t>
            </w:r>
          </w:p>
        </w:tc>
        <w:tc>
          <w:tcPr>
            <w:tcW w:type="dxa" w:w="7143"/>
            <w:vAlign w:val="top"/>
          </w:tcPr>
          <w:p>
            <w:pPr>
              <w:spacing w:after="0" w:line="252" w:lineRule="auto"/>
            </w:pPr>
            <w:r/>
            <w:r>
              <w:rPr>
                <w:rFonts w:ascii="Aptos" w:hAnsi="Aptos"/>
                <w:b w:val="0"/>
                <w:color w:val="1E2B33"/>
                <w:sz w:val="16"/>
              </w:rPr>
              <w:t>Orden o soporte de sesión; Texto radicado; Ponencia o soporte actual; Fuente de ponentes. Consultar expediente digital para acceder a los documentos oficiales.</w:t>
            </w:r>
          </w:p>
        </w:tc>
      </w:tr>
      <w:tr>
        <w:tc>
          <w:tcPr>
            <w:tcW w:type="dxa" w:w="1757"/>
            <w:vAlign w:val="top"/>
            <w:shd w:fill="EFF2F3"/>
          </w:tcPr>
          <w:p>
            <w:pPr>
              <w:spacing w:after="0" w:line="252" w:lineRule="auto"/>
            </w:pPr>
            <w:r/>
            <w:r>
              <w:rPr>
                <w:rFonts w:ascii="Aptos" w:hAnsi="Aptos"/>
                <w:b/>
                <w:color w:val="6B7981"/>
                <w:sz w:val="15"/>
              </w:rPr>
              <w:t>NOTAS DE VERIFICACIÓN</w:t>
            </w:r>
          </w:p>
        </w:tc>
        <w:tc>
          <w:tcPr>
            <w:tcW w:type="dxa" w:w="7143"/>
            <w:vAlign w:val="top"/>
          </w:tcPr>
          <w:p>
            <w:pPr>
              <w:spacing w:after="40" w:line="252" w:lineRule="auto"/>
            </w:pPr>
            <w:r/>
            <w:r>
              <w:rPr>
                <w:rFonts w:ascii="Aptos" w:hAnsi="Aptos"/>
                <w:b w:val="0"/>
                <w:color w:val="1E2B33"/>
                <w:sz w:val="16"/>
              </w:rPr>
              <w:t>Texto radicado, Exposición de motivos y generalidades, p. 5.</w:t>
            </w:r>
          </w:p>
          <w:p>
            <w:pPr>
              <w:spacing w:after="0" w:line="252" w:lineRule="auto"/>
            </w:pPr>
            <w:r>
              <w:rPr>
                <w:rFonts w:ascii="Aptos" w:hAnsi="Aptos"/>
                <w:b w:val="0"/>
                <w:color w:val="1E2B33"/>
                <w:sz w:val="16"/>
              </w:rPr>
              <w:t>Contenido de la sesión verificado el 25 de octubre de 2026. Texto radicado verificado el 25 de octubre de 2026.</w:t>
            </w:r>
          </w:p>
        </w:tc>
      </w:tr>
    </w:tbl>
    <w:p>
      <w:r>
        <w:br w:type="page"/>
      </w:r>
    </w:p>
    <w:p>
      <w:pPr>
        <w:keepNext/>
        <w:spacing w:before="100" w:after="100"/>
      </w:pPr>
      <w:r>
        <w:rPr>
          <w:b/>
          <w:color w:val="6B7981"/>
          <w:sz w:val="16"/>
        </w:rPr>
        <w:t>PLENARIA DEL SENADO · 27 DE OCTUBRE DE 2026   /   PROYECTO 7 DE 19</w:t>
      </w:r>
    </w:p>
    <w:p>
      <w:pPr>
        <w:keepNext/>
        <w:spacing w:after="100"/>
      </w:pPr>
      <w:r>
        <w:rPr>
          <w:b/>
          <w:color w:val="203845"/>
          <w:sz w:val="26"/>
        </w:rPr>
        <w:t>PL 089 de 2026 Senado</w:t>
      </w:r>
    </w:p>
    <w:p>
      <w:pPr>
        <w:keepNext/>
        <w:spacing w:after="160"/>
      </w:pPr>
      <w:r>
        <w:rPr>
          <w:b/>
          <w:color w:val="203845"/>
          <w:sz w:val="19"/>
        </w:rPr>
        <w:t>Día de la Baracunatana y Anhelos · Lisandro Meza y Alfredo Gutiérrez</w:t>
      </w:r>
    </w:p>
    <w:tbl>
      <w:tblPr>
        <w:tblStyle w:val="TableGrid"/>
        <w:tblW w:type="auto" w:w="0"/>
        <w:jc w:val="center"/>
        <w:tblLayout w:type="fixed"/>
        <w:tblLook w:firstColumn="1" w:firstRow="1" w:lastColumn="0" w:lastRow="0" w:noHBand="0" w:noVBand="1" w:val="04A0"/>
      </w:tblPr>
      <w:tblGrid>
        <w:gridCol w:w="1757"/>
        <w:gridCol w:w="8164"/>
      </w:tblGrid>
      <w:tr>
        <w:tc>
          <w:tcPr>
            <w:tcW w:type="dxa" w:w="1757"/>
            <w:vAlign w:val="top"/>
            <w:shd w:fill="EFF2F3"/>
          </w:tcPr>
          <w:p>
            <w:pPr>
              <w:spacing w:after="0" w:line="252" w:lineRule="auto"/>
            </w:pPr>
            <w:r/>
            <w:r>
              <w:rPr>
                <w:rFonts w:ascii="Aptos" w:hAnsi="Aptos"/>
                <w:b/>
                <w:color w:val="6B7981"/>
                <w:sz w:val="15"/>
              </w:rPr>
              <w:t>TIPO DE LEY</w:t>
            </w:r>
          </w:p>
        </w:tc>
        <w:tc>
          <w:tcPr>
            <w:tcW w:type="dxa" w:w="7143"/>
            <w:vAlign w:val="top"/>
          </w:tcPr>
          <w:p>
            <w:pPr>
              <w:spacing w:after="0" w:line="252" w:lineRule="auto"/>
            </w:pPr>
            <w:r/>
            <w:r>
              <w:rPr>
                <w:rFonts w:ascii="Aptos" w:hAnsi="Aptos"/>
                <w:b w:val="0"/>
                <w:color w:val="1E2B33"/>
                <w:sz w:val="16"/>
              </w:rPr>
              <w:t>Ordinaria</w:t>
            </w:r>
          </w:p>
        </w:tc>
      </w:tr>
      <w:tr>
        <w:tc>
          <w:tcPr>
            <w:tcW w:type="dxa" w:w="1757"/>
            <w:vAlign w:val="top"/>
            <w:shd w:fill="EFF2F3"/>
          </w:tcPr>
          <w:p>
            <w:pPr>
              <w:spacing w:after="0" w:line="252" w:lineRule="auto"/>
            </w:pPr>
            <w:r/>
            <w:r>
              <w:rPr>
                <w:rFonts w:ascii="Aptos" w:hAnsi="Aptos"/>
                <w:b/>
                <w:color w:val="6B7981"/>
                <w:sz w:val="15"/>
              </w:rPr>
              <w:t>ESTADO DOCUMENTADO</w:t>
            </w:r>
          </w:p>
        </w:tc>
        <w:tc>
          <w:tcPr>
            <w:tcW w:type="dxa" w:w="7143"/>
            <w:vAlign w:val="top"/>
          </w:tcPr>
          <w:p>
            <w:pPr>
              <w:spacing w:after="0" w:line="252" w:lineRule="auto"/>
            </w:pPr>
            <w:r/>
            <w:r>
              <w:rPr>
                <w:rFonts w:ascii="Aptos" w:hAnsi="Aptos"/>
                <w:b w:val="0"/>
                <w:color w:val="1E2B33"/>
                <w:sz w:val="16"/>
              </w:rPr>
              <w:t>Último estado documentado: Segundo debate en plenaria del Senado. No se presume un resultado posterior al soporte consultado.</w:t>
            </w:r>
          </w:p>
        </w:tc>
      </w:tr>
      <w:tr>
        <w:tc>
          <w:tcPr>
            <w:tcW w:type="dxa" w:w="1757"/>
            <w:vAlign w:val="top"/>
            <w:shd w:fill="EFF2F3"/>
          </w:tcPr>
          <w:p>
            <w:pPr>
              <w:spacing w:after="0" w:line="252" w:lineRule="auto"/>
            </w:pPr>
            <w:r/>
            <w:r>
              <w:rPr>
                <w:rFonts w:ascii="Aptos" w:hAnsi="Aptos"/>
                <w:b/>
                <w:color w:val="6B7981"/>
                <w:sz w:val="15"/>
              </w:rPr>
              <w:t>ORIGEN</w:t>
            </w:r>
          </w:p>
        </w:tc>
        <w:tc>
          <w:tcPr>
            <w:tcW w:type="dxa" w:w="7143"/>
            <w:vAlign w:val="top"/>
          </w:tcPr>
          <w:p>
            <w:pPr>
              <w:spacing w:after="0" w:line="252" w:lineRule="auto"/>
            </w:pPr>
            <w:r/>
            <w:r>
              <w:rPr>
                <w:rFonts w:ascii="Aptos" w:hAnsi="Aptos"/>
                <w:b w:val="0"/>
                <w:color w:val="1E2B33"/>
                <w:sz w:val="16"/>
              </w:rPr>
              <w:t>Senado de la República · iniciativa congresional</w:t>
            </w:r>
          </w:p>
        </w:tc>
      </w:tr>
      <w:tr>
        <w:tc>
          <w:tcPr>
            <w:tcW w:type="dxa" w:w="1757"/>
            <w:vAlign w:val="top"/>
            <w:shd w:fill="EFF2F3"/>
          </w:tcPr>
          <w:p>
            <w:pPr>
              <w:spacing w:after="0" w:line="252" w:lineRule="auto"/>
            </w:pPr>
            <w:r/>
            <w:r>
              <w:rPr>
                <w:rFonts w:ascii="Aptos" w:hAnsi="Aptos"/>
                <w:b/>
                <w:color w:val="6B7981"/>
                <w:sz w:val="15"/>
              </w:rPr>
              <w:t>COMISIÓN</w:t>
            </w:r>
          </w:p>
        </w:tc>
        <w:tc>
          <w:tcPr>
            <w:tcW w:type="dxa" w:w="7143"/>
            <w:vAlign w:val="top"/>
          </w:tcPr>
          <w:p>
            <w:pPr>
              <w:spacing w:after="0" w:line="252" w:lineRule="auto"/>
            </w:pPr>
            <w:r/>
            <w:r>
              <w:rPr>
                <w:rFonts w:ascii="Aptos" w:hAnsi="Aptos"/>
                <w:b w:val="0"/>
                <w:color w:val="1E2B33"/>
                <w:sz w:val="16"/>
              </w:rPr>
              <w:t>Comisión Segunda del Senado · reparto informado en el portal; la etapa de esta ficha puede corresponder a plenaria</w:t>
            </w:r>
          </w:p>
        </w:tc>
      </w:tr>
      <w:tr>
        <w:tc>
          <w:tcPr>
            <w:tcW w:type="dxa" w:w="1757"/>
            <w:vAlign w:val="top"/>
            <w:shd w:fill="EFF2F3"/>
          </w:tcPr>
          <w:p>
            <w:pPr>
              <w:spacing w:after="0" w:line="252" w:lineRule="auto"/>
            </w:pPr>
            <w:r/>
            <w:r>
              <w:rPr>
                <w:rFonts w:ascii="Aptos" w:hAnsi="Aptos"/>
                <w:b/>
                <w:color w:val="6B7981"/>
                <w:sz w:val="15"/>
              </w:rPr>
              <w:t>ACTIVIDAD DE LA SESIÓN</w:t>
            </w:r>
          </w:p>
        </w:tc>
        <w:tc>
          <w:tcPr>
            <w:tcW w:type="dxa" w:w="7143"/>
            <w:vAlign w:val="top"/>
          </w:tcPr>
          <w:p>
            <w:pPr>
              <w:spacing w:after="0" w:line="252" w:lineRule="auto"/>
            </w:pPr>
            <w:r/>
            <w:r>
              <w:rPr>
                <w:rFonts w:ascii="Aptos" w:hAnsi="Aptos"/>
                <w:b w:val="0"/>
                <w:color w:val="1E2B33"/>
                <w:sz w:val="16"/>
              </w:rPr>
              <w:t>Plenaria del Senado del 27 de octubre de 2026, 15:00 hora de Bogotá. Citada. Discusión y votación previstas.</w:t>
            </w:r>
          </w:p>
        </w:tc>
      </w:tr>
      <w:tr>
        <w:tc>
          <w:tcPr>
            <w:tcW w:type="dxa" w:w="1757"/>
            <w:vAlign w:val="top"/>
            <w:shd w:fill="EFF2F3"/>
          </w:tcPr>
          <w:p>
            <w:pPr>
              <w:spacing w:after="0" w:line="252" w:lineRule="auto"/>
            </w:pPr>
            <w:r/>
            <w:r>
              <w:rPr>
                <w:rFonts w:ascii="Aptos" w:hAnsi="Aptos"/>
                <w:b/>
                <w:color w:val="6B7981"/>
                <w:sz w:val="15"/>
              </w:rPr>
              <w:t>EXPOSICIÓN DE MOTIVOS</w:t>
            </w:r>
          </w:p>
        </w:tc>
        <w:tc>
          <w:tcPr>
            <w:tcW w:type="dxa" w:w="7143"/>
            <w:vAlign w:val="top"/>
          </w:tcPr>
          <w:p>
            <w:pPr>
              <w:spacing w:after="0" w:line="252" w:lineRule="auto"/>
            </w:pPr>
            <w:r/>
            <w:r>
              <w:rPr>
                <w:rFonts w:ascii="Aptos" w:hAnsi="Aptos"/>
                <w:b w:val="0"/>
                <w:color w:val="1E2B33"/>
                <w:sz w:val="16"/>
              </w:rPr>
              <w:t>La exposición fundamenta el homenaje en el aporte de Lisandro Meza y Alfredo Gutiérrez a la música colombiana y a su proyección internacional. Invoca la competencia legislativa para reconocer ese legado cultural y apoyar su difusión, mediante conmemoraciones y las medidas de promoción previstas por la iniciativa.</w:t>
            </w:r>
          </w:p>
        </w:tc>
      </w:tr>
      <w:tr>
        <w:tc>
          <w:tcPr>
            <w:tcW w:type="dxa" w:w="1757"/>
            <w:vAlign w:val="top"/>
            <w:shd w:fill="EFF2F3"/>
          </w:tcPr>
          <w:p>
            <w:pPr>
              <w:spacing w:after="0" w:line="252" w:lineRule="auto"/>
            </w:pPr>
            <w:r/>
            <w:r>
              <w:rPr>
                <w:rFonts w:ascii="Aptos" w:hAnsi="Aptos"/>
                <w:b/>
                <w:color w:val="6B7981"/>
                <w:sz w:val="15"/>
              </w:rPr>
              <w:t>OBJETO DEL PROYECTO</w:t>
            </w:r>
          </w:p>
        </w:tc>
        <w:tc>
          <w:tcPr>
            <w:tcW w:type="dxa" w:w="7143"/>
            <w:vAlign w:val="top"/>
          </w:tcPr>
          <w:p>
            <w:pPr>
              <w:spacing w:after="0" w:line="252" w:lineRule="auto"/>
            </w:pPr>
            <w:r/>
            <w:r>
              <w:rPr>
                <w:rFonts w:ascii="Aptos" w:hAnsi="Aptos"/>
                <w:b w:val="0"/>
                <w:color w:val="1E2B33"/>
                <w:sz w:val="16"/>
              </w:rPr>
              <w:t>Homenajea a Lisandro Meza y Alfredo Gutiérrez y crea la conmemoración del 28 de noviembre. Autoriza proyectos de salón comunal, monumentos, instrumentos, alcantarillado y parques en Los Palmitos, sujetos a las reglas presupuestales.</w:t>
            </w:r>
          </w:p>
        </w:tc>
      </w:tr>
      <w:tr>
        <w:tc>
          <w:tcPr>
            <w:tcW w:type="dxa" w:w="1757"/>
            <w:vAlign w:val="top"/>
            <w:shd w:fill="EFF2F3"/>
          </w:tcPr>
          <w:p>
            <w:pPr>
              <w:spacing w:after="0" w:line="252" w:lineRule="auto"/>
            </w:pPr>
            <w:r/>
            <w:r>
              <w:rPr>
                <w:rFonts w:ascii="Aptos" w:hAnsi="Aptos"/>
                <w:b/>
                <w:color w:val="6B7981"/>
                <w:sz w:val="15"/>
              </w:rPr>
              <w:t>ANÁLISIS DOCUMENTAL</w:t>
            </w:r>
          </w:p>
        </w:tc>
        <w:tc>
          <w:tcPr>
            <w:tcW w:type="dxa" w:w="7143"/>
            <w:vAlign w:val="top"/>
          </w:tcPr>
          <w:p>
            <w:pPr>
              <w:spacing w:after="0" w:line="252" w:lineRule="auto"/>
            </w:pPr>
            <w:r/>
            <w:r>
              <w:rPr>
                <w:rFonts w:ascii="Aptos" w:hAnsi="Aptos"/>
                <w:b w:val="0"/>
                <w:color w:val="1E2B33"/>
                <w:sz w:val="16"/>
              </w:rPr>
              <w:t>La ponencia 1378/2026 homenajea a Lisandro Meza y Alfredo Gutiérrez mediante la conmemoración del 28 de noviembre. Autoriza cofinanciación de salón comunal, monumentos, instrumentos musicales, alcantarillado de El Coley y parques rurales de Los Palmitos. El gasto está sujeto a normas y disponibilidades presupuestales; no se informa ejecución o financiación aprobada.</w:t>
            </w:r>
          </w:p>
        </w:tc>
      </w:tr>
      <w:tr>
        <w:tc>
          <w:tcPr>
            <w:tcW w:type="dxa" w:w="1757"/>
            <w:vAlign w:val="top"/>
            <w:shd w:fill="EFF2F3"/>
          </w:tcPr>
          <w:p>
            <w:pPr>
              <w:spacing w:after="0" w:line="252" w:lineRule="auto"/>
            </w:pPr>
            <w:r/>
            <w:r>
              <w:rPr>
                <w:rFonts w:ascii="Aptos" w:hAnsi="Aptos"/>
                <w:b/>
                <w:color w:val="6B7981"/>
                <w:sz w:val="15"/>
              </w:rPr>
              <w:t>PONENTES</w:t>
            </w:r>
          </w:p>
        </w:tc>
        <w:tc>
          <w:tcPr>
            <w:tcW w:type="dxa" w:w="7143"/>
            <w:vAlign w:val="top"/>
          </w:tcPr>
          <w:p>
            <w:pPr>
              <w:spacing w:after="0" w:line="252" w:lineRule="auto"/>
            </w:pPr>
            <w:r/>
            <w:r>
              <w:rPr>
                <w:rFonts w:ascii="Aptos" w:hAnsi="Aptos"/>
                <w:b w:val="0"/>
                <w:color w:val="1E2B33"/>
                <w:sz w:val="16"/>
              </w:rPr>
              <w:t>Antonio José Correa Jiménez · segundo debate en Senado.</w:t>
            </w:r>
          </w:p>
        </w:tc>
      </w:tr>
      <w:tr>
        <w:tc>
          <w:tcPr>
            <w:tcW w:type="dxa" w:w="1757"/>
            <w:vAlign w:val="top"/>
            <w:shd w:fill="EFF2F3"/>
          </w:tcPr>
          <w:p>
            <w:pPr>
              <w:spacing w:after="0" w:line="252" w:lineRule="auto"/>
            </w:pPr>
            <w:r/>
            <w:r>
              <w:rPr>
                <w:rFonts w:ascii="Aptos" w:hAnsi="Aptos"/>
                <w:b/>
                <w:color w:val="6B7981"/>
                <w:sz w:val="15"/>
              </w:rPr>
              <w:t>SOPORTES IDENTIFICADOS</w:t>
            </w:r>
          </w:p>
        </w:tc>
        <w:tc>
          <w:tcPr>
            <w:tcW w:type="dxa" w:w="7143"/>
            <w:vAlign w:val="top"/>
          </w:tcPr>
          <w:p>
            <w:pPr>
              <w:spacing w:after="0" w:line="252" w:lineRule="auto"/>
            </w:pPr>
            <w:r/>
            <w:r>
              <w:rPr>
                <w:rFonts w:ascii="Aptos" w:hAnsi="Aptos"/>
                <w:b w:val="0"/>
                <w:color w:val="1E2B33"/>
                <w:sz w:val="16"/>
              </w:rPr>
              <w:t>Orden o soporte de sesión; Texto radicado; Ponencia o soporte actual; Fuente de ponentes. Consultar expediente digital para acceder a los documentos oficiales.</w:t>
            </w:r>
          </w:p>
        </w:tc>
      </w:tr>
      <w:tr>
        <w:tc>
          <w:tcPr>
            <w:tcW w:type="dxa" w:w="1757"/>
            <w:vAlign w:val="top"/>
            <w:shd w:fill="EFF2F3"/>
          </w:tcPr>
          <w:p>
            <w:pPr>
              <w:spacing w:after="0" w:line="252" w:lineRule="auto"/>
            </w:pPr>
            <w:r/>
            <w:r>
              <w:rPr>
                <w:rFonts w:ascii="Aptos" w:hAnsi="Aptos"/>
                <w:b/>
                <w:color w:val="6B7981"/>
                <w:sz w:val="15"/>
              </w:rPr>
              <w:t>NOTAS DE VERIFICACIÓN</w:t>
            </w:r>
          </w:p>
        </w:tc>
        <w:tc>
          <w:tcPr>
            <w:tcW w:type="dxa" w:w="7143"/>
            <w:vAlign w:val="top"/>
          </w:tcPr>
          <w:p>
            <w:pPr>
              <w:spacing w:after="40" w:line="252" w:lineRule="auto"/>
            </w:pPr>
            <w:r/>
            <w:r>
              <w:rPr>
                <w:rFonts w:ascii="Aptos" w:hAnsi="Aptos"/>
                <w:b w:val="0"/>
                <w:color w:val="1E2B33"/>
                <w:sz w:val="16"/>
              </w:rPr>
              <w:t>Texto radicado, Exposición de motivos y fundamentos jurídicos, p. 5.</w:t>
            </w:r>
          </w:p>
          <w:p>
            <w:pPr>
              <w:spacing w:after="0" w:line="252" w:lineRule="auto"/>
            </w:pPr>
            <w:r>
              <w:rPr>
                <w:rFonts w:ascii="Aptos" w:hAnsi="Aptos"/>
                <w:b w:val="0"/>
                <w:color w:val="1E2B33"/>
                <w:sz w:val="16"/>
              </w:rPr>
              <w:t>Contenido de la sesión verificado el 25 de octubre de 2026. Texto radicado verificado el 25 de octubre de 2026.</w:t>
            </w:r>
          </w:p>
        </w:tc>
      </w:tr>
    </w:tbl>
    <w:p>
      <w:r>
        <w:br w:type="page"/>
      </w:r>
    </w:p>
    <w:p>
      <w:pPr>
        <w:keepNext/>
        <w:spacing w:before="100" w:after="100"/>
      </w:pPr>
      <w:r>
        <w:rPr>
          <w:b/>
          <w:color w:val="6B7981"/>
          <w:sz w:val="16"/>
        </w:rPr>
        <w:t>PLENARIA DEL SENADO · 27 DE OCTUBRE DE 2026   /   PROYECTO 8 DE 19</w:t>
      </w:r>
    </w:p>
    <w:p>
      <w:pPr>
        <w:keepNext/>
        <w:spacing w:after="100"/>
      </w:pPr>
      <w:r>
        <w:rPr>
          <w:b/>
          <w:color w:val="203845"/>
          <w:sz w:val="26"/>
        </w:rPr>
        <w:t>PL 090 de 2026 Senado</w:t>
      </w:r>
    </w:p>
    <w:p>
      <w:pPr>
        <w:keepNext/>
        <w:spacing w:after="160"/>
      </w:pPr>
      <w:r>
        <w:rPr>
          <w:b/>
          <w:color w:val="203845"/>
          <w:sz w:val="19"/>
        </w:rPr>
        <w:t>Río Viejo · legado de sus cantadoras</w:t>
      </w:r>
    </w:p>
    <w:tbl>
      <w:tblPr>
        <w:tblStyle w:val="TableGrid"/>
        <w:tblW w:type="auto" w:w="0"/>
        <w:jc w:val="center"/>
        <w:tblLayout w:type="fixed"/>
        <w:tblLook w:firstColumn="1" w:firstRow="1" w:lastColumn="0" w:lastRow="0" w:noHBand="0" w:noVBand="1" w:val="04A0"/>
      </w:tblPr>
      <w:tblGrid>
        <w:gridCol w:w="1757"/>
        <w:gridCol w:w="8164"/>
      </w:tblGrid>
      <w:tr>
        <w:tc>
          <w:tcPr>
            <w:tcW w:type="dxa" w:w="1757"/>
            <w:vAlign w:val="top"/>
            <w:shd w:fill="EFF2F3"/>
          </w:tcPr>
          <w:p>
            <w:pPr>
              <w:spacing w:after="0" w:line="252" w:lineRule="auto"/>
            </w:pPr>
            <w:r/>
            <w:r>
              <w:rPr>
                <w:rFonts w:ascii="Aptos" w:hAnsi="Aptos"/>
                <w:b/>
                <w:color w:val="6B7981"/>
                <w:sz w:val="15"/>
              </w:rPr>
              <w:t>TIPO DE LEY</w:t>
            </w:r>
          </w:p>
        </w:tc>
        <w:tc>
          <w:tcPr>
            <w:tcW w:type="dxa" w:w="7143"/>
            <w:vAlign w:val="top"/>
          </w:tcPr>
          <w:p>
            <w:pPr>
              <w:spacing w:after="0" w:line="252" w:lineRule="auto"/>
            </w:pPr>
            <w:r/>
            <w:r>
              <w:rPr>
                <w:rFonts w:ascii="Aptos" w:hAnsi="Aptos"/>
                <w:b w:val="0"/>
                <w:color w:val="1E2B33"/>
                <w:sz w:val="16"/>
              </w:rPr>
              <w:t>Ordinaria</w:t>
            </w:r>
          </w:p>
        </w:tc>
      </w:tr>
      <w:tr>
        <w:tc>
          <w:tcPr>
            <w:tcW w:type="dxa" w:w="1757"/>
            <w:vAlign w:val="top"/>
            <w:shd w:fill="EFF2F3"/>
          </w:tcPr>
          <w:p>
            <w:pPr>
              <w:spacing w:after="0" w:line="252" w:lineRule="auto"/>
            </w:pPr>
            <w:r/>
            <w:r>
              <w:rPr>
                <w:rFonts w:ascii="Aptos" w:hAnsi="Aptos"/>
                <w:b/>
                <w:color w:val="6B7981"/>
                <w:sz w:val="15"/>
              </w:rPr>
              <w:t>ESTADO DOCUMENTADO</w:t>
            </w:r>
          </w:p>
        </w:tc>
        <w:tc>
          <w:tcPr>
            <w:tcW w:type="dxa" w:w="7143"/>
            <w:vAlign w:val="top"/>
          </w:tcPr>
          <w:p>
            <w:pPr>
              <w:spacing w:after="0" w:line="252" w:lineRule="auto"/>
            </w:pPr>
            <w:r/>
            <w:r>
              <w:rPr>
                <w:rFonts w:ascii="Aptos" w:hAnsi="Aptos"/>
                <w:b w:val="0"/>
                <w:color w:val="1E2B33"/>
                <w:sz w:val="16"/>
              </w:rPr>
              <w:t>Último estado documentado: Segundo debate en plenaria del Senado. No se presume un resultado posterior al soporte consultado.</w:t>
            </w:r>
          </w:p>
        </w:tc>
      </w:tr>
      <w:tr>
        <w:tc>
          <w:tcPr>
            <w:tcW w:type="dxa" w:w="1757"/>
            <w:vAlign w:val="top"/>
            <w:shd w:fill="EFF2F3"/>
          </w:tcPr>
          <w:p>
            <w:pPr>
              <w:spacing w:after="0" w:line="252" w:lineRule="auto"/>
            </w:pPr>
            <w:r/>
            <w:r>
              <w:rPr>
                <w:rFonts w:ascii="Aptos" w:hAnsi="Aptos"/>
                <w:b/>
                <w:color w:val="6B7981"/>
                <w:sz w:val="15"/>
              </w:rPr>
              <w:t>ORIGEN</w:t>
            </w:r>
          </w:p>
        </w:tc>
        <w:tc>
          <w:tcPr>
            <w:tcW w:type="dxa" w:w="7143"/>
            <w:vAlign w:val="top"/>
          </w:tcPr>
          <w:p>
            <w:pPr>
              <w:spacing w:after="0" w:line="252" w:lineRule="auto"/>
            </w:pPr>
            <w:r/>
            <w:r>
              <w:rPr>
                <w:rFonts w:ascii="Aptos" w:hAnsi="Aptos"/>
                <w:b w:val="0"/>
                <w:color w:val="1E2B33"/>
                <w:sz w:val="16"/>
              </w:rPr>
              <w:t>Senado de la República · iniciativa congresional</w:t>
            </w:r>
          </w:p>
        </w:tc>
      </w:tr>
      <w:tr>
        <w:tc>
          <w:tcPr>
            <w:tcW w:type="dxa" w:w="1757"/>
            <w:vAlign w:val="top"/>
            <w:shd w:fill="EFF2F3"/>
          </w:tcPr>
          <w:p>
            <w:pPr>
              <w:spacing w:after="0" w:line="252" w:lineRule="auto"/>
            </w:pPr>
            <w:r/>
            <w:r>
              <w:rPr>
                <w:rFonts w:ascii="Aptos" w:hAnsi="Aptos"/>
                <w:b/>
                <w:color w:val="6B7981"/>
                <w:sz w:val="15"/>
              </w:rPr>
              <w:t>COMISIÓN</w:t>
            </w:r>
          </w:p>
        </w:tc>
        <w:tc>
          <w:tcPr>
            <w:tcW w:type="dxa" w:w="7143"/>
            <w:vAlign w:val="top"/>
          </w:tcPr>
          <w:p>
            <w:pPr>
              <w:spacing w:after="0" w:line="252" w:lineRule="auto"/>
            </w:pPr>
            <w:r/>
            <w:r>
              <w:rPr>
                <w:rFonts w:ascii="Aptos" w:hAnsi="Aptos"/>
                <w:b w:val="0"/>
                <w:color w:val="1E2B33"/>
                <w:sz w:val="16"/>
              </w:rPr>
              <w:t>Comisión Segunda del Senado · reparto informado en el portal; la etapa de esta ficha puede corresponder a plenaria</w:t>
            </w:r>
          </w:p>
        </w:tc>
      </w:tr>
      <w:tr>
        <w:tc>
          <w:tcPr>
            <w:tcW w:type="dxa" w:w="1757"/>
            <w:vAlign w:val="top"/>
            <w:shd w:fill="EFF2F3"/>
          </w:tcPr>
          <w:p>
            <w:pPr>
              <w:spacing w:after="0" w:line="252" w:lineRule="auto"/>
            </w:pPr>
            <w:r/>
            <w:r>
              <w:rPr>
                <w:rFonts w:ascii="Aptos" w:hAnsi="Aptos"/>
                <w:b/>
                <w:color w:val="6B7981"/>
                <w:sz w:val="15"/>
              </w:rPr>
              <w:t>ACTIVIDAD DE LA SESIÓN</w:t>
            </w:r>
          </w:p>
        </w:tc>
        <w:tc>
          <w:tcPr>
            <w:tcW w:type="dxa" w:w="7143"/>
            <w:vAlign w:val="top"/>
          </w:tcPr>
          <w:p>
            <w:pPr>
              <w:spacing w:after="0" w:line="252" w:lineRule="auto"/>
            </w:pPr>
            <w:r/>
            <w:r>
              <w:rPr>
                <w:rFonts w:ascii="Aptos" w:hAnsi="Aptos"/>
                <w:b w:val="0"/>
                <w:color w:val="1E2B33"/>
                <w:sz w:val="16"/>
              </w:rPr>
              <w:t>Plenaria del Senado del 27 de octubre de 2026, 15:00 hora de Bogotá. Citada. Discusión y votación previstas.</w:t>
            </w:r>
          </w:p>
        </w:tc>
      </w:tr>
      <w:tr>
        <w:tc>
          <w:tcPr>
            <w:tcW w:type="dxa" w:w="1757"/>
            <w:vAlign w:val="top"/>
            <w:shd w:fill="EFF2F3"/>
          </w:tcPr>
          <w:p>
            <w:pPr>
              <w:spacing w:after="0" w:line="252" w:lineRule="auto"/>
            </w:pPr>
            <w:r/>
            <w:r>
              <w:rPr>
                <w:rFonts w:ascii="Aptos" w:hAnsi="Aptos"/>
                <w:b/>
                <w:color w:val="6B7981"/>
                <w:sz w:val="15"/>
              </w:rPr>
              <w:t>EXPOSICIÓN DE MOTIVOS</w:t>
            </w:r>
          </w:p>
        </w:tc>
        <w:tc>
          <w:tcPr>
            <w:tcW w:type="dxa" w:w="7143"/>
            <w:vAlign w:val="top"/>
          </w:tcPr>
          <w:p>
            <w:pPr>
              <w:spacing w:after="0" w:line="252" w:lineRule="auto"/>
            </w:pPr>
            <w:r/>
            <w:r>
              <w:rPr>
                <w:rFonts w:ascii="Aptos" w:hAnsi="Aptos"/>
                <w:b w:val="0"/>
                <w:color w:val="1E2B33"/>
                <w:sz w:val="16"/>
              </w:rPr>
              <w:t>La exposición explica que la continuidad de la tambora y los bailes cantaos depende de las mujeres que preservan repertorios, memorias e interpretación comunitaria. Justifica el homenaje a Río Viejo y sus cantadoras junto con archivo vivo, transmisión entre generaciones, investigación y circulación cultural.</w:t>
            </w:r>
          </w:p>
        </w:tc>
      </w:tr>
      <w:tr>
        <w:tc>
          <w:tcPr>
            <w:tcW w:type="dxa" w:w="1757"/>
            <w:vAlign w:val="top"/>
            <w:shd w:fill="EFF2F3"/>
          </w:tcPr>
          <w:p>
            <w:pPr>
              <w:spacing w:after="0" w:line="252" w:lineRule="auto"/>
            </w:pPr>
            <w:r/>
            <w:r>
              <w:rPr>
                <w:rFonts w:ascii="Aptos" w:hAnsi="Aptos"/>
                <w:b/>
                <w:color w:val="6B7981"/>
                <w:sz w:val="15"/>
              </w:rPr>
              <w:t>OBJETO DEL PROYECTO</w:t>
            </w:r>
          </w:p>
        </w:tc>
        <w:tc>
          <w:tcPr>
            <w:tcW w:type="dxa" w:w="7143"/>
            <w:vAlign w:val="top"/>
          </w:tcPr>
          <w:p>
            <w:pPr>
              <w:spacing w:after="0" w:line="252" w:lineRule="auto"/>
            </w:pPr>
            <w:r/>
            <w:r>
              <w:rPr>
                <w:rFonts w:ascii="Aptos" w:hAnsi="Aptos"/>
                <w:b w:val="0"/>
                <w:color w:val="1E2B33"/>
                <w:sz w:val="16"/>
              </w:rPr>
              <w:t>Exalta a Río Viejo y a sus cantadoras; homenajea a Ana Matilde Alvarado Sajonero. Promueve documentación, archivo vivo, transmisión intergeneracional, investigación y difusión del legado, con salvaguardas para comunidad y contenidos.</w:t>
            </w:r>
          </w:p>
        </w:tc>
      </w:tr>
      <w:tr>
        <w:tc>
          <w:tcPr>
            <w:tcW w:type="dxa" w:w="1757"/>
            <w:vAlign w:val="top"/>
            <w:shd w:fill="EFF2F3"/>
          </w:tcPr>
          <w:p>
            <w:pPr>
              <w:spacing w:after="0" w:line="252" w:lineRule="auto"/>
            </w:pPr>
            <w:r/>
            <w:r>
              <w:rPr>
                <w:rFonts w:ascii="Aptos" w:hAnsi="Aptos"/>
                <w:b/>
                <w:color w:val="6B7981"/>
                <w:sz w:val="15"/>
              </w:rPr>
              <w:t>ANÁLISIS DOCUMENTAL</w:t>
            </w:r>
          </w:p>
        </w:tc>
        <w:tc>
          <w:tcPr>
            <w:tcW w:type="dxa" w:w="7143"/>
            <w:vAlign w:val="top"/>
          </w:tcPr>
          <w:p>
            <w:pPr>
              <w:spacing w:after="0" w:line="252" w:lineRule="auto"/>
            </w:pPr>
            <w:r/>
            <w:r>
              <w:rPr>
                <w:rFonts w:ascii="Aptos" w:hAnsi="Aptos"/>
                <w:b w:val="0"/>
                <w:color w:val="1E2B33"/>
                <w:sz w:val="16"/>
              </w:rPr>
              <w:t>La ponencia 1378/2026 exalta a Río Viejo y sus cantadoras como transmisoras de tambora, bailes cantaos y tradición oral; homenajea a Ana Matilde Alvarado Sajonero. Prevé archivo vivo, formación intergeneracional, investigación y circulación, con consentimiento, atribución, protección de datos y derechos de autor. El apoyo depende de competencias y disponibilidades; no sustituye el régimen de patrimonio cultural inmaterial.</w:t>
            </w:r>
          </w:p>
        </w:tc>
      </w:tr>
      <w:tr>
        <w:tc>
          <w:tcPr>
            <w:tcW w:type="dxa" w:w="1757"/>
            <w:vAlign w:val="top"/>
            <w:shd w:fill="EFF2F3"/>
          </w:tcPr>
          <w:p>
            <w:pPr>
              <w:spacing w:after="0" w:line="252" w:lineRule="auto"/>
            </w:pPr>
            <w:r/>
            <w:r>
              <w:rPr>
                <w:rFonts w:ascii="Aptos" w:hAnsi="Aptos"/>
                <w:b/>
                <w:color w:val="6B7981"/>
                <w:sz w:val="15"/>
              </w:rPr>
              <w:t>PONENTES</w:t>
            </w:r>
          </w:p>
        </w:tc>
        <w:tc>
          <w:tcPr>
            <w:tcW w:type="dxa" w:w="7143"/>
            <w:vAlign w:val="top"/>
          </w:tcPr>
          <w:p>
            <w:pPr>
              <w:spacing w:after="0" w:line="252" w:lineRule="auto"/>
            </w:pPr>
            <w:r/>
            <w:r>
              <w:rPr>
                <w:rFonts w:ascii="Aptos" w:hAnsi="Aptos"/>
                <w:b w:val="0"/>
                <w:color w:val="1E2B33"/>
                <w:sz w:val="16"/>
              </w:rPr>
              <w:t>Antonio José Correa Jiménez · segundo debate en Senado.</w:t>
            </w:r>
          </w:p>
        </w:tc>
      </w:tr>
      <w:tr>
        <w:tc>
          <w:tcPr>
            <w:tcW w:type="dxa" w:w="1757"/>
            <w:vAlign w:val="top"/>
            <w:shd w:fill="EFF2F3"/>
          </w:tcPr>
          <w:p>
            <w:pPr>
              <w:spacing w:after="0" w:line="252" w:lineRule="auto"/>
            </w:pPr>
            <w:r/>
            <w:r>
              <w:rPr>
                <w:rFonts w:ascii="Aptos" w:hAnsi="Aptos"/>
                <w:b/>
                <w:color w:val="6B7981"/>
                <w:sz w:val="15"/>
              </w:rPr>
              <w:t>SOPORTES IDENTIFICADOS</w:t>
            </w:r>
          </w:p>
        </w:tc>
        <w:tc>
          <w:tcPr>
            <w:tcW w:type="dxa" w:w="7143"/>
            <w:vAlign w:val="top"/>
          </w:tcPr>
          <w:p>
            <w:pPr>
              <w:spacing w:after="0" w:line="252" w:lineRule="auto"/>
            </w:pPr>
            <w:r/>
            <w:r>
              <w:rPr>
                <w:rFonts w:ascii="Aptos" w:hAnsi="Aptos"/>
                <w:b w:val="0"/>
                <w:color w:val="1E2B33"/>
                <w:sz w:val="16"/>
              </w:rPr>
              <w:t>Orden o soporte de sesión; Texto radicado; Ponencia o soporte actual; Fuente de ponentes. Consultar expediente digital para acceder a los documentos oficiales.</w:t>
            </w:r>
          </w:p>
        </w:tc>
      </w:tr>
      <w:tr>
        <w:tc>
          <w:tcPr>
            <w:tcW w:type="dxa" w:w="1757"/>
            <w:vAlign w:val="top"/>
            <w:shd w:fill="EFF2F3"/>
          </w:tcPr>
          <w:p>
            <w:pPr>
              <w:spacing w:after="0" w:line="252" w:lineRule="auto"/>
            </w:pPr>
            <w:r/>
            <w:r>
              <w:rPr>
                <w:rFonts w:ascii="Aptos" w:hAnsi="Aptos"/>
                <w:b/>
                <w:color w:val="6B7981"/>
                <w:sz w:val="15"/>
              </w:rPr>
              <w:t>NOTAS DE VERIFICACIÓN</w:t>
            </w:r>
          </w:p>
        </w:tc>
        <w:tc>
          <w:tcPr>
            <w:tcW w:type="dxa" w:w="7143"/>
            <w:vAlign w:val="top"/>
          </w:tcPr>
          <w:p>
            <w:pPr>
              <w:spacing w:after="40" w:line="252" w:lineRule="auto"/>
            </w:pPr>
            <w:r/>
            <w:r>
              <w:rPr>
                <w:rFonts w:ascii="Aptos" w:hAnsi="Aptos"/>
                <w:b w:val="0"/>
                <w:color w:val="1E2B33"/>
                <w:sz w:val="16"/>
              </w:rPr>
              <w:t>Texto radicado, Exposición de motivos, presentación y fundamentos, p. 2.</w:t>
            </w:r>
          </w:p>
          <w:p>
            <w:pPr>
              <w:spacing w:after="0" w:line="252" w:lineRule="auto"/>
            </w:pPr>
            <w:r>
              <w:rPr>
                <w:rFonts w:ascii="Aptos" w:hAnsi="Aptos"/>
                <w:b w:val="0"/>
                <w:color w:val="1E2B33"/>
                <w:sz w:val="16"/>
              </w:rPr>
              <w:t>Contenido de la sesión verificado el 25 de octubre de 2026. Texto radicado verificado el 25 de octubre de 2026.</w:t>
            </w:r>
          </w:p>
        </w:tc>
      </w:tr>
    </w:tbl>
    <w:p>
      <w:r>
        <w:br w:type="page"/>
      </w:r>
    </w:p>
    <w:p>
      <w:pPr>
        <w:keepNext/>
        <w:spacing w:before="100" w:after="100"/>
      </w:pPr>
      <w:r>
        <w:rPr>
          <w:b/>
          <w:color w:val="6B7981"/>
          <w:sz w:val="16"/>
        </w:rPr>
        <w:t>PLENARIA DEL SENADO · 27 DE OCTUBRE DE 2026   /   PROYECTO 9 DE 19</w:t>
      </w:r>
    </w:p>
    <w:p>
      <w:pPr>
        <w:keepNext/>
        <w:spacing w:after="100"/>
      </w:pPr>
      <w:r>
        <w:rPr>
          <w:b/>
          <w:color w:val="203845"/>
          <w:sz w:val="26"/>
        </w:rPr>
        <w:t>PL 322 de 2025 Senado – 107 de 2025 Cámara</w:t>
      </w:r>
    </w:p>
    <w:p>
      <w:pPr>
        <w:keepNext/>
        <w:spacing w:after="160"/>
      </w:pPr>
      <w:r>
        <w:rPr>
          <w:b/>
          <w:color w:val="203845"/>
          <w:sz w:val="19"/>
        </w:rPr>
        <w:t>Pueblo Viejo, Magdalena · quinientos años</w:t>
      </w:r>
    </w:p>
    <w:tbl>
      <w:tblPr>
        <w:tblStyle w:val="TableGrid"/>
        <w:tblW w:type="auto" w:w="0"/>
        <w:jc w:val="center"/>
        <w:tblLayout w:type="fixed"/>
        <w:tblLook w:firstColumn="1" w:firstRow="1" w:lastColumn="0" w:lastRow="0" w:noHBand="0" w:noVBand="1" w:val="04A0"/>
      </w:tblPr>
      <w:tblGrid>
        <w:gridCol w:w="1757"/>
        <w:gridCol w:w="8164"/>
      </w:tblGrid>
      <w:tr>
        <w:tc>
          <w:tcPr>
            <w:tcW w:type="dxa" w:w="1757"/>
            <w:vAlign w:val="top"/>
            <w:shd w:fill="EFF2F3"/>
          </w:tcPr>
          <w:p>
            <w:pPr>
              <w:spacing w:after="0" w:line="252" w:lineRule="auto"/>
            </w:pPr>
            <w:r/>
            <w:r>
              <w:rPr>
                <w:rFonts w:ascii="Aptos" w:hAnsi="Aptos"/>
                <w:b/>
                <w:color w:val="6B7981"/>
                <w:sz w:val="15"/>
              </w:rPr>
              <w:t>TIPO DE LEY</w:t>
            </w:r>
          </w:p>
        </w:tc>
        <w:tc>
          <w:tcPr>
            <w:tcW w:type="dxa" w:w="7143"/>
            <w:vAlign w:val="top"/>
          </w:tcPr>
          <w:p>
            <w:pPr>
              <w:spacing w:after="0" w:line="252" w:lineRule="auto"/>
            </w:pPr>
            <w:r/>
            <w:r>
              <w:rPr>
                <w:rFonts w:ascii="Aptos" w:hAnsi="Aptos"/>
                <w:b w:val="0"/>
                <w:color w:val="1E2B33"/>
                <w:sz w:val="16"/>
              </w:rPr>
              <w:t>Ordinaria</w:t>
            </w:r>
          </w:p>
        </w:tc>
      </w:tr>
      <w:tr>
        <w:tc>
          <w:tcPr>
            <w:tcW w:type="dxa" w:w="1757"/>
            <w:vAlign w:val="top"/>
            <w:shd w:fill="EFF2F3"/>
          </w:tcPr>
          <w:p>
            <w:pPr>
              <w:spacing w:after="0" w:line="252" w:lineRule="auto"/>
            </w:pPr>
            <w:r/>
            <w:r>
              <w:rPr>
                <w:rFonts w:ascii="Aptos" w:hAnsi="Aptos"/>
                <w:b/>
                <w:color w:val="6B7981"/>
                <w:sz w:val="15"/>
              </w:rPr>
              <w:t>ESTADO DOCUMENTADO</w:t>
            </w:r>
          </w:p>
        </w:tc>
        <w:tc>
          <w:tcPr>
            <w:tcW w:type="dxa" w:w="7143"/>
            <w:vAlign w:val="top"/>
          </w:tcPr>
          <w:p>
            <w:pPr>
              <w:spacing w:after="0" w:line="252" w:lineRule="auto"/>
            </w:pPr>
            <w:r/>
            <w:r>
              <w:rPr>
                <w:rFonts w:ascii="Aptos" w:hAnsi="Aptos"/>
                <w:b w:val="0"/>
                <w:color w:val="1E2B33"/>
                <w:sz w:val="16"/>
              </w:rPr>
              <w:t>Último estado documentado: Segundo debate en plenaria del Senado; cuarto debate del trámite ordinario. No se presume un resultado posterior al soporte consultado.</w:t>
            </w:r>
          </w:p>
        </w:tc>
      </w:tr>
      <w:tr>
        <w:tc>
          <w:tcPr>
            <w:tcW w:type="dxa" w:w="1757"/>
            <w:vAlign w:val="top"/>
            <w:shd w:fill="EFF2F3"/>
          </w:tcPr>
          <w:p>
            <w:pPr>
              <w:spacing w:after="0" w:line="252" w:lineRule="auto"/>
            </w:pPr>
            <w:r/>
            <w:r>
              <w:rPr>
                <w:rFonts w:ascii="Aptos" w:hAnsi="Aptos"/>
                <w:b/>
                <w:color w:val="6B7981"/>
                <w:sz w:val="15"/>
              </w:rPr>
              <w:t>ORIGEN</w:t>
            </w:r>
          </w:p>
        </w:tc>
        <w:tc>
          <w:tcPr>
            <w:tcW w:type="dxa" w:w="7143"/>
            <w:vAlign w:val="top"/>
          </w:tcPr>
          <w:p>
            <w:pPr>
              <w:spacing w:after="0" w:line="252" w:lineRule="auto"/>
            </w:pPr>
            <w:r/>
            <w:r>
              <w:rPr>
                <w:rFonts w:ascii="Aptos" w:hAnsi="Aptos"/>
                <w:b w:val="0"/>
                <w:color w:val="1E2B33"/>
                <w:sz w:val="16"/>
              </w:rPr>
              <w:t>Cámara de Representantes · iniciativa congresional</w:t>
            </w:r>
          </w:p>
        </w:tc>
      </w:tr>
      <w:tr>
        <w:tc>
          <w:tcPr>
            <w:tcW w:type="dxa" w:w="1757"/>
            <w:vAlign w:val="top"/>
            <w:shd w:fill="EFF2F3"/>
          </w:tcPr>
          <w:p>
            <w:pPr>
              <w:spacing w:after="0" w:line="252" w:lineRule="auto"/>
            </w:pPr>
            <w:r/>
            <w:r>
              <w:rPr>
                <w:rFonts w:ascii="Aptos" w:hAnsi="Aptos"/>
                <w:b/>
                <w:color w:val="6B7981"/>
                <w:sz w:val="15"/>
              </w:rPr>
              <w:t>COMISIÓN</w:t>
            </w:r>
          </w:p>
        </w:tc>
        <w:tc>
          <w:tcPr>
            <w:tcW w:type="dxa" w:w="7143"/>
            <w:vAlign w:val="top"/>
          </w:tcPr>
          <w:p>
            <w:pPr>
              <w:spacing w:after="0" w:line="252" w:lineRule="auto"/>
            </w:pPr>
            <w:r/>
            <w:r>
              <w:rPr>
                <w:rFonts w:ascii="Aptos" w:hAnsi="Aptos"/>
                <w:b w:val="0"/>
                <w:color w:val="1E2B33"/>
                <w:sz w:val="16"/>
              </w:rPr>
              <w:t>Comisión Segunda del Senado · reparto informado en el portal; la etapa de esta ficha puede corresponder a plenaria</w:t>
            </w:r>
          </w:p>
        </w:tc>
      </w:tr>
      <w:tr>
        <w:tc>
          <w:tcPr>
            <w:tcW w:type="dxa" w:w="1757"/>
            <w:vAlign w:val="top"/>
            <w:shd w:fill="EFF2F3"/>
          </w:tcPr>
          <w:p>
            <w:pPr>
              <w:spacing w:after="0" w:line="252" w:lineRule="auto"/>
            </w:pPr>
            <w:r/>
            <w:r>
              <w:rPr>
                <w:rFonts w:ascii="Aptos" w:hAnsi="Aptos"/>
                <w:b/>
                <w:color w:val="6B7981"/>
                <w:sz w:val="15"/>
              </w:rPr>
              <w:t>ACTIVIDAD DE LA SESIÓN</w:t>
            </w:r>
          </w:p>
        </w:tc>
        <w:tc>
          <w:tcPr>
            <w:tcW w:type="dxa" w:w="7143"/>
            <w:vAlign w:val="top"/>
          </w:tcPr>
          <w:p>
            <w:pPr>
              <w:spacing w:after="0" w:line="252" w:lineRule="auto"/>
            </w:pPr>
            <w:r/>
            <w:r>
              <w:rPr>
                <w:rFonts w:ascii="Aptos" w:hAnsi="Aptos"/>
                <w:b w:val="0"/>
                <w:color w:val="1E2B33"/>
                <w:sz w:val="16"/>
              </w:rPr>
              <w:t>Plenaria del Senado del 27 de octubre de 2026, 15:00 hora de Bogotá. Citada. Discusión y votación previstas.</w:t>
            </w:r>
          </w:p>
        </w:tc>
      </w:tr>
      <w:tr>
        <w:tc>
          <w:tcPr>
            <w:tcW w:type="dxa" w:w="1757"/>
            <w:vAlign w:val="top"/>
            <w:shd w:fill="EFF2F3"/>
          </w:tcPr>
          <w:p>
            <w:pPr>
              <w:spacing w:after="0" w:line="252" w:lineRule="auto"/>
            </w:pPr>
            <w:r/>
            <w:r>
              <w:rPr>
                <w:rFonts w:ascii="Aptos" w:hAnsi="Aptos"/>
                <w:b/>
                <w:color w:val="6B7981"/>
                <w:sz w:val="15"/>
              </w:rPr>
              <w:t>EXPOSICIÓN DE MOTIVOS</w:t>
            </w:r>
          </w:p>
        </w:tc>
        <w:tc>
          <w:tcPr>
            <w:tcW w:type="dxa" w:w="7143"/>
            <w:vAlign w:val="top"/>
          </w:tcPr>
          <w:p>
            <w:pPr>
              <w:spacing w:after="0" w:line="252" w:lineRule="auto"/>
            </w:pPr>
            <w:r/>
            <w:r>
              <w:rPr>
                <w:rFonts w:ascii="Aptos" w:hAnsi="Aptos"/>
                <w:b w:val="0"/>
                <w:color w:val="1E2B33"/>
                <w:sz w:val="16"/>
              </w:rPr>
              <w:t>La exposición vincula los quinientos años de Puebloviejo con el reconocimiento de su importancia histórica, cultural y ambiental y con necesidades de servicios, infraestructura y diversificación económica. Justifica asociar la conmemoración a memoria histórica e inversiones que apoyen su desarrollo integral, sujetas a las reglas presupuestales de la iniciativa.</w:t>
            </w:r>
          </w:p>
        </w:tc>
      </w:tr>
      <w:tr>
        <w:tc>
          <w:tcPr>
            <w:tcW w:type="dxa" w:w="1757"/>
            <w:vAlign w:val="top"/>
            <w:shd w:fill="EFF2F3"/>
          </w:tcPr>
          <w:p>
            <w:pPr>
              <w:spacing w:after="0" w:line="252" w:lineRule="auto"/>
            </w:pPr>
            <w:r/>
            <w:r>
              <w:rPr>
                <w:rFonts w:ascii="Aptos" w:hAnsi="Aptos"/>
                <w:b/>
                <w:color w:val="6B7981"/>
                <w:sz w:val="15"/>
              </w:rPr>
              <w:t>OBJETO DEL PROYECTO</w:t>
            </w:r>
          </w:p>
        </w:tc>
        <w:tc>
          <w:tcPr>
            <w:tcW w:type="dxa" w:w="7143"/>
            <w:vAlign w:val="top"/>
          </w:tcPr>
          <w:p>
            <w:pPr>
              <w:spacing w:after="0" w:line="252" w:lineRule="auto"/>
            </w:pPr>
            <w:r/>
            <w:r>
              <w:rPr>
                <w:rFonts w:ascii="Aptos" w:hAnsi="Aptos"/>
                <w:b w:val="0"/>
                <w:color w:val="1E2B33"/>
                <w:sz w:val="16"/>
              </w:rPr>
              <w:t>Gaceta 1331 del 8/08/2025, pp. 19–22: PL 107/2025 Cámara. Conmemora los 500 años de Puebloviejo, autoriza actos e inversiones culturales, turísticas, productivas y de servicios públicos, y difusión de memoria histórica. El gasto depende de disponibilidad presupuestal.</w:t>
            </w:r>
          </w:p>
        </w:tc>
      </w:tr>
      <w:tr>
        <w:tc>
          <w:tcPr>
            <w:tcW w:type="dxa" w:w="1757"/>
            <w:vAlign w:val="top"/>
            <w:shd w:fill="EFF2F3"/>
          </w:tcPr>
          <w:p>
            <w:pPr>
              <w:spacing w:after="0" w:line="252" w:lineRule="auto"/>
            </w:pPr>
            <w:r/>
            <w:r>
              <w:rPr>
                <w:rFonts w:ascii="Aptos" w:hAnsi="Aptos"/>
                <w:b/>
                <w:color w:val="6B7981"/>
                <w:sz w:val="15"/>
              </w:rPr>
              <w:t>ANÁLISIS DOCUMENTAL</w:t>
            </w:r>
          </w:p>
        </w:tc>
        <w:tc>
          <w:tcPr>
            <w:tcW w:type="dxa" w:w="7143"/>
            <w:vAlign w:val="top"/>
          </w:tcPr>
          <w:p>
            <w:pPr>
              <w:spacing w:after="0" w:line="252" w:lineRule="auto"/>
            </w:pPr>
            <w:r/>
            <w:r>
              <w:rPr>
                <w:rFonts w:ascii="Aptos" w:hAnsi="Aptos"/>
                <w:b w:val="0"/>
                <w:color w:val="1E2B33"/>
                <w:sz w:val="16"/>
              </w:rPr>
              <w:t>La ponencia 1415/2026, reasignada a Honorio Miguel Henríquez Pinedo, propone conmemoración, reconocimiento institucional, difusión de memoria y autorizaciones para infraestructura, patrimonio, pesca artesanal, sal marina, servicios básicos y turismo sostenible. Confirma aprobación previa en Cámara el 4/11/2025 y primer debate en Senado el 16/12/2025: corresponde al cuarto debate del trámite ordinario, segundo en Senado. La financiación no es automática.</w:t>
            </w:r>
          </w:p>
        </w:tc>
      </w:tr>
      <w:tr>
        <w:tc>
          <w:tcPr>
            <w:tcW w:type="dxa" w:w="1757"/>
            <w:vAlign w:val="top"/>
            <w:shd w:fill="EFF2F3"/>
          </w:tcPr>
          <w:p>
            <w:pPr>
              <w:spacing w:after="0" w:line="252" w:lineRule="auto"/>
            </w:pPr>
            <w:r/>
            <w:r>
              <w:rPr>
                <w:rFonts w:ascii="Aptos" w:hAnsi="Aptos"/>
                <w:b/>
                <w:color w:val="6B7981"/>
                <w:sz w:val="15"/>
              </w:rPr>
              <w:t>PONENTES</w:t>
            </w:r>
          </w:p>
        </w:tc>
        <w:tc>
          <w:tcPr>
            <w:tcW w:type="dxa" w:w="7143"/>
            <w:vAlign w:val="top"/>
          </w:tcPr>
          <w:p>
            <w:pPr>
              <w:spacing w:after="0" w:line="252" w:lineRule="auto"/>
            </w:pPr>
            <w:r/>
            <w:r>
              <w:rPr>
                <w:rFonts w:ascii="Aptos" w:hAnsi="Aptos"/>
                <w:b w:val="0"/>
                <w:color w:val="1E2B33"/>
                <w:sz w:val="16"/>
              </w:rPr>
              <w:t>Honorio Miguel Henríquez Pinedo · segundo debate en Senado.</w:t>
            </w:r>
          </w:p>
        </w:tc>
      </w:tr>
      <w:tr>
        <w:tc>
          <w:tcPr>
            <w:tcW w:type="dxa" w:w="1757"/>
            <w:vAlign w:val="top"/>
            <w:shd w:fill="EFF2F3"/>
          </w:tcPr>
          <w:p>
            <w:pPr>
              <w:spacing w:after="0" w:line="252" w:lineRule="auto"/>
            </w:pPr>
            <w:r/>
            <w:r>
              <w:rPr>
                <w:rFonts w:ascii="Aptos" w:hAnsi="Aptos"/>
                <w:b/>
                <w:color w:val="6B7981"/>
                <w:sz w:val="15"/>
              </w:rPr>
              <w:t>SOPORTES IDENTIFICADOS</w:t>
            </w:r>
          </w:p>
        </w:tc>
        <w:tc>
          <w:tcPr>
            <w:tcW w:type="dxa" w:w="7143"/>
            <w:vAlign w:val="top"/>
          </w:tcPr>
          <w:p>
            <w:pPr>
              <w:spacing w:after="0" w:line="252" w:lineRule="auto"/>
            </w:pPr>
            <w:r/>
            <w:r>
              <w:rPr>
                <w:rFonts w:ascii="Aptos" w:hAnsi="Aptos"/>
                <w:b w:val="0"/>
                <w:color w:val="1E2B33"/>
                <w:sz w:val="16"/>
              </w:rPr>
              <w:t>Orden o soporte de sesión; Texto radicado; Ponencia o soporte actual; Fuente de ponentes. Consultar expediente digital para acceder a los documentos oficiales.</w:t>
            </w:r>
          </w:p>
        </w:tc>
      </w:tr>
      <w:tr>
        <w:tc>
          <w:tcPr>
            <w:tcW w:type="dxa" w:w="1757"/>
            <w:vAlign w:val="top"/>
            <w:shd w:fill="EFF2F3"/>
          </w:tcPr>
          <w:p>
            <w:pPr>
              <w:spacing w:after="0" w:line="252" w:lineRule="auto"/>
            </w:pPr>
            <w:r/>
            <w:r>
              <w:rPr>
                <w:rFonts w:ascii="Aptos" w:hAnsi="Aptos"/>
                <w:b/>
                <w:color w:val="6B7981"/>
                <w:sz w:val="15"/>
              </w:rPr>
              <w:t>NOTAS DE VERIFICACIÓN</w:t>
            </w:r>
          </w:p>
        </w:tc>
        <w:tc>
          <w:tcPr>
            <w:tcW w:type="dxa" w:w="7143"/>
            <w:vAlign w:val="top"/>
          </w:tcPr>
          <w:p>
            <w:pPr>
              <w:spacing w:after="40" w:line="252" w:lineRule="auto"/>
            </w:pPr>
            <w:r/>
            <w:r>
              <w:rPr>
                <w:rFonts w:ascii="Aptos" w:hAnsi="Aptos"/>
                <w:b w:val="0"/>
                <w:color w:val="1E2B33"/>
                <w:sz w:val="16"/>
              </w:rPr>
              <w:t>Texto radicado publicado en Gaceta 1331 del 08/08/2025, exposición de motivos y justificación, pp. 19–20.</w:t>
            </w:r>
          </w:p>
          <w:p>
            <w:pPr>
              <w:spacing w:after="0" w:line="252" w:lineRule="auto"/>
            </w:pPr>
            <w:r>
              <w:rPr>
                <w:rFonts w:ascii="Aptos" w:hAnsi="Aptos"/>
                <w:b w:val="0"/>
                <w:color w:val="1E2B33"/>
                <w:sz w:val="16"/>
              </w:rPr>
              <w:t>Contenido de la sesión verificado el 25 de octubre de 2026. Texto radicado verificado el 25 de octubre de 2026.</w:t>
            </w:r>
          </w:p>
        </w:tc>
      </w:tr>
    </w:tbl>
    <w:p>
      <w:r>
        <w:br w:type="page"/>
      </w:r>
    </w:p>
    <w:p>
      <w:pPr>
        <w:keepNext/>
        <w:spacing w:before="100" w:after="100"/>
      </w:pPr>
      <w:r>
        <w:rPr>
          <w:b/>
          <w:color w:val="6B7981"/>
          <w:sz w:val="16"/>
        </w:rPr>
        <w:t>PLENARIA DEL SENADO · 27 DE OCTUBRE DE 2026   /   PROYECTO 10 DE 19</w:t>
      </w:r>
    </w:p>
    <w:p>
      <w:pPr>
        <w:keepNext/>
        <w:spacing w:after="100"/>
      </w:pPr>
      <w:r>
        <w:rPr>
          <w:b/>
          <w:color w:val="203845"/>
          <w:sz w:val="26"/>
        </w:rPr>
        <w:t>PL 206 de 2025 Senado</w:t>
      </w:r>
    </w:p>
    <w:p>
      <w:pPr>
        <w:keepNext/>
        <w:spacing w:after="160"/>
      </w:pPr>
      <w:r>
        <w:rPr>
          <w:b/>
          <w:color w:val="203845"/>
          <w:sz w:val="19"/>
        </w:rPr>
        <w:t>Mejoramiento integral de asentamientos y prevención del loteo ilegal</w:t>
      </w:r>
    </w:p>
    <w:tbl>
      <w:tblPr>
        <w:tblStyle w:val="TableGrid"/>
        <w:tblW w:type="auto" w:w="0"/>
        <w:jc w:val="center"/>
        <w:tblLayout w:type="fixed"/>
        <w:tblLook w:firstColumn="1" w:firstRow="1" w:lastColumn="0" w:lastRow="0" w:noHBand="0" w:noVBand="1" w:val="04A0"/>
      </w:tblPr>
      <w:tblGrid>
        <w:gridCol w:w="1757"/>
        <w:gridCol w:w="8164"/>
      </w:tblGrid>
      <w:tr>
        <w:tc>
          <w:tcPr>
            <w:tcW w:type="dxa" w:w="1757"/>
            <w:vAlign w:val="top"/>
            <w:shd w:fill="EFF2F3"/>
          </w:tcPr>
          <w:p>
            <w:pPr>
              <w:spacing w:after="0" w:line="252" w:lineRule="auto"/>
            </w:pPr>
            <w:r/>
            <w:r>
              <w:rPr>
                <w:rFonts w:ascii="Aptos" w:hAnsi="Aptos"/>
                <w:b/>
                <w:color w:val="6B7981"/>
                <w:sz w:val="15"/>
              </w:rPr>
              <w:t>TIPO DE LEY</w:t>
            </w:r>
          </w:p>
        </w:tc>
        <w:tc>
          <w:tcPr>
            <w:tcW w:type="dxa" w:w="7143"/>
            <w:vAlign w:val="top"/>
          </w:tcPr>
          <w:p>
            <w:pPr>
              <w:spacing w:after="0" w:line="252" w:lineRule="auto"/>
            </w:pPr>
            <w:r/>
            <w:r>
              <w:rPr>
                <w:rFonts w:ascii="Aptos" w:hAnsi="Aptos"/>
                <w:b w:val="0"/>
                <w:color w:val="1E2B33"/>
                <w:sz w:val="16"/>
              </w:rPr>
              <w:t>Ordinaria</w:t>
            </w:r>
          </w:p>
        </w:tc>
      </w:tr>
      <w:tr>
        <w:tc>
          <w:tcPr>
            <w:tcW w:type="dxa" w:w="1757"/>
            <w:vAlign w:val="top"/>
            <w:shd w:fill="EFF2F3"/>
          </w:tcPr>
          <w:p>
            <w:pPr>
              <w:spacing w:after="0" w:line="252" w:lineRule="auto"/>
            </w:pPr>
            <w:r/>
            <w:r>
              <w:rPr>
                <w:rFonts w:ascii="Aptos" w:hAnsi="Aptos"/>
                <w:b/>
                <w:color w:val="6B7981"/>
                <w:sz w:val="15"/>
              </w:rPr>
              <w:t>ESTADO DOCUMENTADO</w:t>
            </w:r>
          </w:p>
        </w:tc>
        <w:tc>
          <w:tcPr>
            <w:tcW w:type="dxa" w:w="7143"/>
            <w:vAlign w:val="top"/>
          </w:tcPr>
          <w:p>
            <w:pPr>
              <w:spacing w:after="0" w:line="252" w:lineRule="auto"/>
            </w:pPr>
            <w:r/>
            <w:r>
              <w:rPr>
                <w:rFonts w:ascii="Aptos" w:hAnsi="Aptos"/>
                <w:b w:val="0"/>
                <w:color w:val="1E2B33"/>
                <w:sz w:val="16"/>
              </w:rPr>
              <w:t>Último estado documentado: Segundo debate en plenaria del Senado. No se presume un resultado posterior al soporte consultado.</w:t>
            </w:r>
          </w:p>
        </w:tc>
      </w:tr>
      <w:tr>
        <w:tc>
          <w:tcPr>
            <w:tcW w:type="dxa" w:w="1757"/>
            <w:vAlign w:val="top"/>
            <w:shd w:fill="EFF2F3"/>
          </w:tcPr>
          <w:p>
            <w:pPr>
              <w:spacing w:after="0" w:line="252" w:lineRule="auto"/>
            </w:pPr>
            <w:r/>
            <w:r>
              <w:rPr>
                <w:rFonts w:ascii="Aptos" w:hAnsi="Aptos"/>
                <w:b/>
                <w:color w:val="6B7981"/>
                <w:sz w:val="15"/>
              </w:rPr>
              <w:t>ORIGEN</w:t>
            </w:r>
          </w:p>
        </w:tc>
        <w:tc>
          <w:tcPr>
            <w:tcW w:type="dxa" w:w="7143"/>
            <w:vAlign w:val="top"/>
          </w:tcPr>
          <w:p>
            <w:pPr>
              <w:spacing w:after="0" w:line="252" w:lineRule="auto"/>
            </w:pPr>
            <w:r/>
            <w:r>
              <w:rPr>
                <w:rFonts w:ascii="Aptos" w:hAnsi="Aptos"/>
                <w:b w:val="0"/>
                <w:color w:val="1E2B33"/>
                <w:sz w:val="16"/>
              </w:rPr>
              <w:t>Senado de la República · iniciativa congresional</w:t>
            </w:r>
          </w:p>
        </w:tc>
      </w:tr>
      <w:tr>
        <w:tc>
          <w:tcPr>
            <w:tcW w:type="dxa" w:w="1757"/>
            <w:vAlign w:val="top"/>
            <w:shd w:fill="EFF2F3"/>
          </w:tcPr>
          <w:p>
            <w:pPr>
              <w:spacing w:after="0" w:line="252" w:lineRule="auto"/>
            </w:pPr>
            <w:r/>
            <w:r>
              <w:rPr>
                <w:rFonts w:ascii="Aptos" w:hAnsi="Aptos"/>
                <w:b/>
                <w:color w:val="6B7981"/>
                <w:sz w:val="15"/>
              </w:rPr>
              <w:t>COMISIÓN</w:t>
            </w:r>
          </w:p>
        </w:tc>
        <w:tc>
          <w:tcPr>
            <w:tcW w:type="dxa" w:w="7143"/>
            <w:vAlign w:val="top"/>
          </w:tcPr>
          <w:p>
            <w:pPr>
              <w:spacing w:after="0" w:line="252" w:lineRule="auto"/>
            </w:pPr>
            <w:r/>
            <w:r>
              <w:rPr>
                <w:rFonts w:ascii="Aptos" w:hAnsi="Aptos"/>
                <w:b w:val="0"/>
                <w:color w:val="1E2B33"/>
                <w:sz w:val="16"/>
              </w:rPr>
              <w:t>Comisión Tercera del Senado · reparto informado en el portal; la etapa de esta ficha puede corresponder a plenaria</w:t>
            </w:r>
          </w:p>
        </w:tc>
      </w:tr>
      <w:tr>
        <w:tc>
          <w:tcPr>
            <w:tcW w:type="dxa" w:w="1757"/>
            <w:vAlign w:val="top"/>
            <w:shd w:fill="EFF2F3"/>
          </w:tcPr>
          <w:p>
            <w:pPr>
              <w:spacing w:after="0" w:line="252" w:lineRule="auto"/>
            </w:pPr>
            <w:r/>
            <w:r>
              <w:rPr>
                <w:rFonts w:ascii="Aptos" w:hAnsi="Aptos"/>
                <w:b/>
                <w:color w:val="6B7981"/>
                <w:sz w:val="15"/>
              </w:rPr>
              <w:t>ACTIVIDAD DE LA SESIÓN</w:t>
            </w:r>
          </w:p>
        </w:tc>
        <w:tc>
          <w:tcPr>
            <w:tcW w:type="dxa" w:w="7143"/>
            <w:vAlign w:val="top"/>
          </w:tcPr>
          <w:p>
            <w:pPr>
              <w:spacing w:after="0" w:line="252" w:lineRule="auto"/>
            </w:pPr>
            <w:r/>
            <w:r>
              <w:rPr>
                <w:rFonts w:ascii="Aptos" w:hAnsi="Aptos"/>
                <w:b w:val="0"/>
                <w:color w:val="1E2B33"/>
                <w:sz w:val="16"/>
              </w:rPr>
              <w:t>Plenaria del Senado del 27 de octubre de 2026, 15:00 hora de Bogotá. Citada. Discusión y votación previstas.</w:t>
            </w:r>
          </w:p>
        </w:tc>
      </w:tr>
      <w:tr>
        <w:tc>
          <w:tcPr>
            <w:tcW w:type="dxa" w:w="1757"/>
            <w:vAlign w:val="top"/>
            <w:shd w:fill="EFF2F3"/>
          </w:tcPr>
          <w:p>
            <w:pPr>
              <w:spacing w:after="0" w:line="252" w:lineRule="auto"/>
            </w:pPr>
            <w:r/>
            <w:r>
              <w:rPr>
                <w:rFonts w:ascii="Aptos" w:hAnsi="Aptos"/>
                <w:b/>
                <w:color w:val="6B7981"/>
                <w:sz w:val="15"/>
              </w:rPr>
              <w:t>EXPOSICIÓN DE MOTIVOS</w:t>
            </w:r>
          </w:p>
        </w:tc>
        <w:tc>
          <w:tcPr>
            <w:tcW w:type="dxa" w:w="7143"/>
            <w:vAlign w:val="top"/>
          </w:tcPr>
          <w:p>
            <w:pPr>
              <w:spacing w:after="0" w:line="252" w:lineRule="auto"/>
            </w:pPr>
            <w:r/>
            <w:r>
              <w:rPr>
                <w:rFonts w:ascii="Aptos" w:hAnsi="Aptos"/>
                <w:b w:val="0"/>
                <w:color w:val="1E2B33"/>
                <w:sz w:val="16"/>
              </w:rPr>
              <w:t>Los autores relacionan la expansión de asentamientos informales con el crecimiento desordenado de las periferias y con dificultades para actualizar los planes de ordenamiento territorial, incluidos los costos de estudios de riesgo. Justifican instrumentos de legalización y mejoramiento del hábitat para facilitar acceso a vivienda y servicios y atender esas barreras; son razones expuestas por la iniciativa.</w:t>
            </w:r>
          </w:p>
        </w:tc>
      </w:tr>
      <w:tr>
        <w:tc>
          <w:tcPr>
            <w:tcW w:type="dxa" w:w="1757"/>
            <w:vAlign w:val="top"/>
            <w:shd w:fill="EFF2F3"/>
          </w:tcPr>
          <w:p>
            <w:pPr>
              <w:spacing w:after="0" w:line="252" w:lineRule="auto"/>
            </w:pPr>
            <w:r/>
            <w:r>
              <w:rPr>
                <w:rFonts w:ascii="Aptos" w:hAnsi="Aptos"/>
                <w:b/>
                <w:color w:val="6B7981"/>
                <w:sz w:val="15"/>
              </w:rPr>
              <w:t>OBJETO DEL PROYECTO</w:t>
            </w:r>
          </w:p>
        </w:tc>
        <w:tc>
          <w:tcPr>
            <w:tcW w:type="dxa" w:w="7143"/>
            <w:vAlign w:val="top"/>
          </w:tcPr>
          <w:p>
            <w:pPr>
              <w:spacing w:after="0" w:line="252" w:lineRule="auto"/>
            </w:pPr>
            <w:r/>
            <w:r>
              <w:rPr>
                <w:rFonts w:ascii="Aptos" w:hAnsi="Aptos"/>
                <w:b w:val="0"/>
                <w:color w:val="1E2B33"/>
                <w:sz w:val="16"/>
              </w:rPr>
              <w:t>Gaceta 1677 del 11/09/2025, pp. 10–25: PL 206/2025 Senado. Regula mejoramiento y legalización de asentamientos rurales y de expansión, ajuste del POT, gestión de hábitat, vivienda cooperativa, financiación y control de especulación y loteo ilegal; exige condiciones de riesgo y ambiente.</w:t>
            </w:r>
          </w:p>
        </w:tc>
      </w:tr>
      <w:tr>
        <w:tc>
          <w:tcPr>
            <w:tcW w:type="dxa" w:w="1757"/>
            <w:vAlign w:val="top"/>
            <w:shd w:fill="EFF2F3"/>
          </w:tcPr>
          <w:p>
            <w:pPr>
              <w:spacing w:after="0" w:line="252" w:lineRule="auto"/>
            </w:pPr>
            <w:r/>
            <w:r>
              <w:rPr>
                <w:rFonts w:ascii="Aptos" w:hAnsi="Aptos"/>
                <w:b/>
                <w:color w:val="6B7981"/>
                <w:sz w:val="15"/>
              </w:rPr>
              <w:t>ANÁLISIS DOCUMENTAL</w:t>
            </w:r>
          </w:p>
        </w:tc>
        <w:tc>
          <w:tcPr>
            <w:tcW w:type="dxa" w:w="7143"/>
            <w:vAlign w:val="top"/>
          </w:tcPr>
          <w:p>
            <w:pPr>
              <w:spacing w:after="0" w:line="252" w:lineRule="auto"/>
            </w:pPr>
            <w:r/>
            <w:r>
              <w:rPr>
                <w:rFonts w:ascii="Aptos" w:hAnsi="Aptos"/>
                <w:b w:val="0"/>
                <w:color w:val="1E2B33"/>
                <w:sz w:val="16"/>
              </w:rPr>
              <w:t>La ponencia 1176/2026 regula legalización y mejoramiento de asentamientos en suelo urbano, rural y de expansión, gestión de hábitat, ajuste excepcional del POT, vivienda cooperativa y financiación. Modifica mecanismos ambientales y de ordenamiento y fortalece control del loteo ilegal y la especulación. Contiene condiciones sociales, de servicios, riesgo y protección ambiental; no legaliza automáticamente cualquier asentamiento. El original del portal conserva encabezados de 2024; se contrastó la edición original 1677/2025, que identifica PL 206/2025.</w:t>
            </w:r>
          </w:p>
        </w:tc>
      </w:tr>
      <w:tr>
        <w:tc>
          <w:tcPr>
            <w:tcW w:type="dxa" w:w="1757"/>
            <w:vAlign w:val="top"/>
            <w:shd w:fill="EFF2F3"/>
          </w:tcPr>
          <w:p>
            <w:pPr>
              <w:spacing w:after="0" w:line="252" w:lineRule="auto"/>
            </w:pPr>
            <w:r/>
            <w:r>
              <w:rPr>
                <w:rFonts w:ascii="Aptos" w:hAnsi="Aptos"/>
                <w:b/>
                <w:color w:val="6B7981"/>
                <w:sz w:val="15"/>
              </w:rPr>
              <w:t>PONENTES</w:t>
            </w:r>
          </w:p>
        </w:tc>
        <w:tc>
          <w:tcPr>
            <w:tcW w:type="dxa" w:w="7143"/>
            <w:vAlign w:val="top"/>
          </w:tcPr>
          <w:p>
            <w:pPr>
              <w:spacing w:after="0" w:line="252" w:lineRule="auto"/>
            </w:pPr>
            <w:r/>
            <w:r>
              <w:rPr>
                <w:rFonts w:ascii="Aptos" w:hAnsi="Aptos"/>
                <w:b w:val="0"/>
                <w:color w:val="1E2B33"/>
                <w:sz w:val="16"/>
              </w:rPr>
              <w:t>Martín Alonso Caicedo Carabalí · segundo debate en Senado.</w:t>
            </w:r>
          </w:p>
        </w:tc>
      </w:tr>
      <w:tr>
        <w:tc>
          <w:tcPr>
            <w:tcW w:type="dxa" w:w="1757"/>
            <w:vAlign w:val="top"/>
            <w:shd w:fill="EFF2F3"/>
          </w:tcPr>
          <w:p>
            <w:pPr>
              <w:spacing w:after="0" w:line="252" w:lineRule="auto"/>
            </w:pPr>
            <w:r/>
            <w:r>
              <w:rPr>
                <w:rFonts w:ascii="Aptos" w:hAnsi="Aptos"/>
                <w:b/>
                <w:color w:val="6B7981"/>
                <w:sz w:val="15"/>
              </w:rPr>
              <w:t>SOPORTES IDENTIFICADOS</w:t>
            </w:r>
          </w:p>
        </w:tc>
        <w:tc>
          <w:tcPr>
            <w:tcW w:type="dxa" w:w="7143"/>
            <w:vAlign w:val="top"/>
          </w:tcPr>
          <w:p>
            <w:pPr>
              <w:spacing w:after="0" w:line="252" w:lineRule="auto"/>
            </w:pPr>
            <w:r/>
            <w:r>
              <w:rPr>
                <w:rFonts w:ascii="Aptos" w:hAnsi="Aptos"/>
                <w:b w:val="0"/>
                <w:color w:val="1E2B33"/>
                <w:sz w:val="16"/>
              </w:rPr>
              <w:t>Orden o soporte de sesión; Texto radicado; Ponencia o soporte actual; Fuente de ponentes. Consultar expediente digital para acceder a los documentos oficiales.</w:t>
            </w:r>
          </w:p>
        </w:tc>
      </w:tr>
      <w:tr>
        <w:tc>
          <w:tcPr>
            <w:tcW w:type="dxa" w:w="1757"/>
            <w:vAlign w:val="top"/>
            <w:shd w:fill="EFF2F3"/>
          </w:tcPr>
          <w:p>
            <w:pPr>
              <w:spacing w:after="0" w:line="252" w:lineRule="auto"/>
            </w:pPr>
            <w:r/>
            <w:r>
              <w:rPr>
                <w:rFonts w:ascii="Aptos" w:hAnsi="Aptos"/>
                <w:b/>
                <w:color w:val="6B7981"/>
                <w:sz w:val="15"/>
              </w:rPr>
              <w:t>NOTAS DE VERIFICACIÓN</w:t>
            </w:r>
          </w:p>
        </w:tc>
        <w:tc>
          <w:tcPr>
            <w:tcW w:type="dxa" w:w="7143"/>
            <w:vAlign w:val="top"/>
          </w:tcPr>
          <w:p>
            <w:pPr>
              <w:spacing w:after="40" w:line="252" w:lineRule="auto"/>
            </w:pPr>
            <w:r/>
            <w:r>
              <w:rPr>
                <w:rFonts w:ascii="Aptos" w:hAnsi="Aptos"/>
                <w:b w:val="0"/>
                <w:color w:val="1E2B33"/>
                <w:sz w:val="16"/>
              </w:rPr>
              <w:t>Texto radicado publicado en Gaceta 1677 del 11/09/2025, Exposición de motivos, objeto y justificación, p. 15.</w:t>
            </w:r>
          </w:p>
          <w:p>
            <w:pPr>
              <w:spacing w:after="0" w:line="252" w:lineRule="auto"/>
            </w:pPr>
            <w:r>
              <w:rPr>
                <w:rFonts w:ascii="Aptos" w:hAnsi="Aptos"/>
                <w:b w:val="0"/>
                <w:color w:val="1E2B33"/>
                <w:sz w:val="16"/>
              </w:rPr>
              <w:t>Contenido de la sesión verificado el 25 de octubre de 2026. Texto radicado verificado el 25 de octubre de 2026.</w:t>
            </w:r>
          </w:p>
        </w:tc>
      </w:tr>
    </w:tbl>
    <w:p>
      <w:r>
        <w:br w:type="page"/>
      </w:r>
    </w:p>
    <w:p>
      <w:pPr>
        <w:keepNext/>
        <w:spacing w:before="100" w:after="100"/>
      </w:pPr>
      <w:r>
        <w:rPr>
          <w:b/>
          <w:color w:val="6B7981"/>
          <w:sz w:val="16"/>
        </w:rPr>
        <w:t>PLENARIA DEL SENADO · 27 DE OCTUBRE DE 2026   /   PROYECTO 11 DE 19</w:t>
      </w:r>
    </w:p>
    <w:p>
      <w:pPr>
        <w:keepNext/>
        <w:spacing w:after="100"/>
      </w:pPr>
      <w:r>
        <w:rPr>
          <w:b/>
          <w:color w:val="203845"/>
          <w:sz w:val="26"/>
        </w:rPr>
        <w:t>PL 113 de 2026 Senado</w:t>
      </w:r>
    </w:p>
    <w:p>
      <w:pPr>
        <w:keepNext/>
        <w:spacing w:after="160"/>
      </w:pPr>
      <w:r>
        <w:rPr>
          <w:b/>
          <w:color w:val="203845"/>
          <w:sz w:val="19"/>
        </w:rPr>
        <w:t>Política pública de formación por ciclos cortos tecnológicos para la empleabilidad</w:t>
      </w:r>
    </w:p>
    <w:tbl>
      <w:tblPr>
        <w:tblStyle w:val="TableGrid"/>
        <w:tblW w:type="auto" w:w="0"/>
        <w:jc w:val="center"/>
        <w:tblLayout w:type="fixed"/>
        <w:tblLook w:firstColumn="1" w:firstRow="1" w:lastColumn="0" w:lastRow="0" w:noHBand="0" w:noVBand="1" w:val="04A0"/>
      </w:tblPr>
      <w:tblGrid>
        <w:gridCol w:w="1757"/>
        <w:gridCol w:w="8164"/>
      </w:tblGrid>
      <w:tr>
        <w:tc>
          <w:tcPr>
            <w:tcW w:type="dxa" w:w="1757"/>
            <w:vAlign w:val="top"/>
            <w:shd w:fill="EFF2F3"/>
          </w:tcPr>
          <w:p>
            <w:pPr>
              <w:spacing w:after="0" w:line="252" w:lineRule="auto"/>
            </w:pPr>
            <w:r/>
            <w:r>
              <w:rPr>
                <w:rFonts w:ascii="Aptos" w:hAnsi="Aptos"/>
                <w:b/>
                <w:color w:val="6B7981"/>
                <w:sz w:val="15"/>
              </w:rPr>
              <w:t>TIPO DE LEY</w:t>
            </w:r>
          </w:p>
        </w:tc>
        <w:tc>
          <w:tcPr>
            <w:tcW w:type="dxa" w:w="7143"/>
            <w:vAlign w:val="top"/>
          </w:tcPr>
          <w:p>
            <w:pPr>
              <w:spacing w:after="0" w:line="252" w:lineRule="auto"/>
            </w:pPr>
            <w:r/>
            <w:r>
              <w:rPr>
                <w:rFonts w:ascii="Aptos" w:hAnsi="Aptos"/>
                <w:b w:val="0"/>
                <w:color w:val="1E2B33"/>
                <w:sz w:val="16"/>
              </w:rPr>
              <w:t>Ordinaria</w:t>
            </w:r>
          </w:p>
        </w:tc>
      </w:tr>
      <w:tr>
        <w:tc>
          <w:tcPr>
            <w:tcW w:type="dxa" w:w="1757"/>
            <w:vAlign w:val="top"/>
            <w:shd w:fill="EFF2F3"/>
          </w:tcPr>
          <w:p>
            <w:pPr>
              <w:spacing w:after="0" w:line="252" w:lineRule="auto"/>
            </w:pPr>
            <w:r/>
            <w:r>
              <w:rPr>
                <w:rFonts w:ascii="Aptos" w:hAnsi="Aptos"/>
                <w:b/>
                <w:color w:val="6B7981"/>
                <w:sz w:val="15"/>
              </w:rPr>
              <w:t>ESTADO DOCUMENTADO</w:t>
            </w:r>
          </w:p>
        </w:tc>
        <w:tc>
          <w:tcPr>
            <w:tcW w:type="dxa" w:w="7143"/>
            <w:vAlign w:val="top"/>
          </w:tcPr>
          <w:p>
            <w:pPr>
              <w:spacing w:after="0" w:line="252" w:lineRule="auto"/>
            </w:pPr>
            <w:r/>
            <w:r>
              <w:rPr>
                <w:rFonts w:ascii="Aptos" w:hAnsi="Aptos"/>
                <w:b w:val="0"/>
                <w:color w:val="1E2B33"/>
                <w:sz w:val="16"/>
              </w:rPr>
              <w:t>Último estado documentado: Segundo debate en plenaria del Senado; ponencia positiva, Gaceta 1382/2026. No se presume un resultado posterior al soporte consultado.</w:t>
            </w:r>
          </w:p>
        </w:tc>
      </w:tr>
      <w:tr>
        <w:tc>
          <w:tcPr>
            <w:tcW w:type="dxa" w:w="1757"/>
            <w:vAlign w:val="top"/>
            <w:shd w:fill="EFF2F3"/>
          </w:tcPr>
          <w:p>
            <w:pPr>
              <w:spacing w:after="0" w:line="252" w:lineRule="auto"/>
            </w:pPr>
            <w:r/>
            <w:r>
              <w:rPr>
                <w:rFonts w:ascii="Aptos" w:hAnsi="Aptos"/>
                <w:b/>
                <w:color w:val="6B7981"/>
                <w:sz w:val="15"/>
              </w:rPr>
              <w:t>ORIGEN</w:t>
            </w:r>
          </w:p>
        </w:tc>
        <w:tc>
          <w:tcPr>
            <w:tcW w:type="dxa" w:w="7143"/>
            <w:vAlign w:val="top"/>
          </w:tcPr>
          <w:p>
            <w:pPr>
              <w:spacing w:after="0" w:line="252" w:lineRule="auto"/>
            </w:pPr>
            <w:r/>
            <w:r>
              <w:rPr>
                <w:rFonts w:ascii="Aptos" w:hAnsi="Aptos"/>
                <w:b w:val="0"/>
                <w:color w:val="1E2B33"/>
                <w:sz w:val="16"/>
              </w:rPr>
              <w:t>Senado de la República · iniciativa congresional</w:t>
            </w:r>
          </w:p>
        </w:tc>
      </w:tr>
      <w:tr>
        <w:tc>
          <w:tcPr>
            <w:tcW w:type="dxa" w:w="1757"/>
            <w:vAlign w:val="top"/>
            <w:shd w:fill="EFF2F3"/>
          </w:tcPr>
          <w:p>
            <w:pPr>
              <w:spacing w:after="0" w:line="252" w:lineRule="auto"/>
            </w:pPr>
            <w:r/>
            <w:r>
              <w:rPr>
                <w:rFonts w:ascii="Aptos" w:hAnsi="Aptos"/>
                <w:b/>
                <w:color w:val="6B7981"/>
                <w:sz w:val="15"/>
              </w:rPr>
              <w:t>COMISIÓN</w:t>
            </w:r>
          </w:p>
        </w:tc>
        <w:tc>
          <w:tcPr>
            <w:tcW w:type="dxa" w:w="7143"/>
            <w:vAlign w:val="top"/>
          </w:tcPr>
          <w:p>
            <w:pPr>
              <w:spacing w:after="0" w:line="252" w:lineRule="auto"/>
            </w:pPr>
            <w:r/>
            <w:r>
              <w:rPr>
                <w:rFonts w:ascii="Aptos" w:hAnsi="Aptos"/>
                <w:b w:val="0"/>
                <w:color w:val="1E2B33"/>
                <w:sz w:val="16"/>
              </w:rPr>
              <w:t>Comisión Sexta del Senado · reparto informado en el portal; la etapa de esta ficha puede corresponder a plenaria</w:t>
            </w:r>
          </w:p>
        </w:tc>
      </w:tr>
      <w:tr>
        <w:tc>
          <w:tcPr>
            <w:tcW w:type="dxa" w:w="1757"/>
            <w:vAlign w:val="top"/>
            <w:shd w:fill="EFF2F3"/>
          </w:tcPr>
          <w:p>
            <w:pPr>
              <w:spacing w:after="0" w:line="252" w:lineRule="auto"/>
            </w:pPr>
            <w:r/>
            <w:r>
              <w:rPr>
                <w:rFonts w:ascii="Aptos" w:hAnsi="Aptos"/>
                <w:b/>
                <w:color w:val="6B7981"/>
                <w:sz w:val="15"/>
              </w:rPr>
              <w:t>ACTIVIDAD DE LA SESIÓN</w:t>
            </w:r>
          </w:p>
        </w:tc>
        <w:tc>
          <w:tcPr>
            <w:tcW w:type="dxa" w:w="7143"/>
            <w:vAlign w:val="top"/>
          </w:tcPr>
          <w:p>
            <w:pPr>
              <w:spacing w:after="0" w:line="252" w:lineRule="auto"/>
            </w:pPr>
            <w:r/>
            <w:r>
              <w:rPr>
                <w:rFonts w:ascii="Aptos" w:hAnsi="Aptos"/>
                <w:b w:val="0"/>
                <w:color w:val="1E2B33"/>
                <w:sz w:val="16"/>
              </w:rPr>
              <w:t>Plenaria del Senado del 27 de octubre de 2026, 15:00 hora de Bogotá. Citada. Discusión y votación previstas.</w:t>
            </w:r>
          </w:p>
        </w:tc>
      </w:tr>
      <w:tr>
        <w:tc>
          <w:tcPr>
            <w:tcW w:type="dxa" w:w="1757"/>
            <w:vAlign w:val="top"/>
            <w:shd w:fill="EFF2F3"/>
          </w:tcPr>
          <w:p>
            <w:pPr>
              <w:spacing w:after="0" w:line="252" w:lineRule="auto"/>
            </w:pPr>
            <w:r/>
            <w:r>
              <w:rPr>
                <w:rFonts w:ascii="Aptos" w:hAnsi="Aptos"/>
                <w:b/>
                <w:color w:val="6B7981"/>
                <w:sz w:val="15"/>
              </w:rPr>
              <w:t>EXPOSICIÓN DE MOTIVOS</w:t>
            </w:r>
          </w:p>
        </w:tc>
        <w:tc>
          <w:tcPr>
            <w:tcW w:type="dxa" w:w="7143"/>
            <w:vAlign w:val="top"/>
          </w:tcPr>
          <w:p>
            <w:pPr>
              <w:spacing w:after="0" w:line="252" w:lineRule="auto"/>
            </w:pPr>
            <w:r/>
            <w:r>
              <w:rPr>
                <w:rFonts w:ascii="Aptos" w:hAnsi="Aptos"/>
                <w:b w:val="0"/>
                <w:color w:val="1E2B33"/>
                <w:sz w:val="16"/>
              </w:rPr>
              <w:t>La exposición identifica una brecha entre las competencias de los egresados y las que demanda el mercado laboral, especialmente en tecnología, junto con desempleo juvenil y deserción. Justifica programas cortos, modulares y acumulables como una vía de formación flexible y actualización de capacidades para facilitar la inserción laboral.</w:t>
            </w:r>
          </w:p>
        </w:tc>
      </w:tr>
      <w:tr>
        <w:tc>
          <w:tcPr>
            <w:tcW w:type="dxa" w:w="1757"/>
            <w:vAlign w:val="top"/>
            <w:shd w:fill="EFF2F3"/>
          </w:tcPr>
          <w:p>
            <w:pPr>
              <w:spacing w:after="0" w:line="252" w:lineRule="auto"/>
            </w:pPr>
            <w:r/>
            <w:r>
              <w:rPr>
                <w:rFonts w:ascii="Aptos" w:hAnsi="Aptos"/>
                <w:b/>
                <w:color w:val="6B7981"/>
                <w:sz w:val="15"/>
              </w:rPr>
              <w:t>OBJETO DEL PROYECTO</w:t>
            </w:r>
          </w:p>
        </w:tc>
        <w:tc>
          <w:tcPr>
            <w:tcW w:type="dxa" w:w="7143"/>
            <w:vAlign w:val="top"/>
          </w:tcPr>
          <w:p>
            <w:pPr>
              <w:spacing w:after="0" w:line="252" w:lineRule="auto"/>
            </w:pPr>
            <w:r/>
            <w:r>
              <w:rPr>
                <w:rFonts w:ascii="Aptos" w:hAnsi="Aptos"/>
                <w:b w:val="0"/>
                <w:color w:val="1E2B33"/>
                <w:sz w:val="16"/>
              </w:rPr>
              <w:t>Propone formación modular de 3 a 12 meses en habilidades tecnológicas, articulada con educación media y SENA, para facilitar el empleo. Incluye 100.000 cupos anuales y apoyos de conectividad, Renta Joven y emprendimiento. Es el texto inicial; la ponencia contiene modificaciones posteriores.</w:t>
            </w:r>
          </w:p>
        </w:tc>
      </w:tr>
      <w:tr>
        <w:tc>
          <w:tcPr>
            <w:tcW w:type="dxa" w:w="1757"/>
            <w:vAlign w:val="top"/>
            <w:shd w:fill="EFF2F3"/>
          </w:tcPr>
          <w:p>
            <w:pPr>
              <w:spacing w:after="0" w:line="252" w:lineRule="auto"/>
            </w:pPr>
            <w:r/>
            <w:r>
              <w:rPr>
                <w:rFonts w:ascii="Aptos" w:hAnsi="Aptos"/>
                <w:b/>
                <w:color w:val="6B7981"/>
                <w:sz w:val="15"/>
              </w:rPr>
              <w:t>ANÁLISIS DOCUMENTAL</w:t>
            </w:r>
          </w:p>
        </w:tc>
        <w:tc>
          <w:tcPr>
            <w:tcW w:type="dxa" w:w="7143"/>
            <w:vAlign w:val="top"/>
          </w:tcPr>
          <w:p>
            <w:pPr>
              <w:spacing w:after="40" w:line="252" w:lineRule="auto"/>
            </w:pPr>
            <w:r/>
            <w:r>
              <w:rPr>
                <w:rFonts w:ascii="Aptos" w:hAnsi="Aptos"/>
                <w:b w:val="0"/>
                <w:color w:val="1E2B33"/>
                <w:sz w:val="16"/>
              </w:rPr>
              <w:t>El texto propuesto para segundo debate crea una política pública para regular, promover e implementar formación modular y acumulable de tres a doce meses, orientada a habilidades tecnológicas e inserción laboral. Prevé articulación con educación media, programas de mayor duración y SENA; prioriza software, inteligencia artificial, datos y otras áreas digitales. Contempla cien mil cupos anuales, posibles subsidios de conectividad y Renta Joven sujetos a disponibilidad presupuestal, intermediación laboral y apoyo al emprendimiento.</w:t>
            </w:r>
          </w:p>
          <w:p>
            <w:pPr>
              <w:spacing w:after="0" w:line="252" w:lineRule="auto"/>
            </w:pPr>
            <w:r>
              <w:rPr>
                <w:rFonts w:ascii="Aptos" w:hAnsi="Aptos"/>
                <w:b w:val="0"/>
                <w:color w:val="1E2B33"/>
                <w:sz w:val="16"/>
              </w:rPr>
              <w:t>Distingue reconocimiento de aprendizajes de expedición de títulos: la acumulación de ciclos no otorga por sí sola títulos de otro nivel ni sustituye requisitos académicos y de calidad. Ponente: Julia Correa Nuttin. Número de Cámara no indicado en el orden ni en la ponencia. El orden acredita la previsión de segundo debate, no su aprobación.</w:t>
            </w:r>
          </w:p>
        </w:tc>
      </w:tr>
      <w:tr>
        <w:tc>
          <w:tcPr>
            <w:tcW w:type="dxa" w:w="1757"/>
            <w:vAlign w:val="top"/>
            <w:shd w:fill="EFF2F3"/>
          </w:tcPr>
          <w:p>
            <w:pPr>
              <w:spacing w:after="0" w:line="252" w:lineRule="auto"/>
            </w:pPr>
            <w:r/>
            <w:r>
              <w:rPr>
                <w:rFonts w:ascii="Aptos" w:hAnsi="Aptos"/>
                <w:b/>
                <w:color w:val="6B7981"/>
                <w:sz w:val="15"/>
              </w:rPr>
              <w:t>PONENTES</w:t>
            </w:r>
          </w:p>
        </w:tc>
        <w:tc>
          <w:tcPr>
            <w:tcW w:type="dxa" w:w="7143"/>
            <w:vAlign w:val="top"/>
          </w:tcPr>
          <w:p>
            <w:pPr>
              <w:spacing w:after="0" w:line="252" w:lineRule="auto"/>
            </w:pPr>
            <w:r/>
            <w:r>
              <w:rPr>
                <w:rFonts w:ascii="Aptos" w:hAnsi="Aptos"/>
                <w:b w:val="0"/>
                <w:color w:val="1E2B33"/>
                <w:sz w:val="16"/>
              </w:rPr>
              <w:t>Julia Correa Nuttin · ponente para segundo debate en Senado.</w:t>
            </w:r>
          </w:p>
        </w:tc>
      </w:tr>
      <w:tr>
        <w:tc>
          <w:tcPr>
            <w:tcW w:type="dxa" w:w="1757"/>
            <w:vAlign w:val="top"/>
            <w:shd w:fill="EFF2F3"/>
          </w:tcPr>
          <w:p>
            <w:pPr>
              <w:spacing w:after="0" w:line="252" w:lineRule="auto"/>
            </w:pPr>
            <w:r/>
            <w:r>
              <w:rPr>
                <w:rFonts w:ascii="Aptos" w:hAnsi="Aptos"/>
                <w:b/>
                <w:color w:val="6B7981"/>
                <w:sz w:val="15"/>
              </w:rPr>
              <w:t>SOPORTES IDENTIFICADOS</w:t>
            </w:r>
          </w:p>
        </w:tc>
        <w:tc>
          <w:tcPr>
            <w:tcW w:type="dxa" w:w="7143"/>
            <w:vAlign w:val="top"/>
          </w:tcPr>
          <w:p>
            <w:pPr>
              <w:spacing w:after="0" w:line="252" w:lineRule="auto"/>
            </w:pPr>
            <w:r/>
            <w:r>
              <w:rPr>
                <w:rFonts w:ascii="Aptos" w:hAnsi="Aptos"/>
                <w:b w:val="0"/>
                <w:color w:val="1E2B33"/>
                <w:sz w:val="16"/>
              </w:rPr>
              <w:t>Orden o soporte de sesión; Texto radicado; Ponencia o soporte actual; Fuente de ponentes. Consultar expediente digital para acceder a los documentos oficiales.</w:t>
            </w:r>
          </w:p>
        </w:tc>
      </w:tr>
      <w:tr>
        <w:tc>
          <w:tcPr>
            <w:tcW w:type="dxa" w:w="1757"/>
            <w:vAlign w:val="top"/>
            <w:shd w:fill="EFF2F3"/>
          </w:tcPr>
          <w:p>
            <w:pPr>
              <w:spacing w:after="0" w:line="252" w:lineRule="auto"/>
            </w:pPr>
            <w:r/>
            <w:r>
              <w:rPr>
                <w:rFonts w:ascii="Aptos" w:hAnsi="Aptos"/>
                <w:b/>
                <w:color w:val="6B7981"/>
                <w:sz w:val="15"/>
              </w:rPr>
              <w:t>NOTAS DE VERIFICACIÓN</w:t>
            </w:r>
          </w:p>
        </w:tc>
        <w:tc>
          <w:tcPr>
            <w:tcW w:type="dxa" w:w="7143"/>
            <w:vAlign w:val="top"/>
          </w:tcPr>
          <w:p>
            <w:pPr>
              <w:spacing w:after="40" w:line="252" w:lineRule="auto"/>
            </w:pPr>
            <w:r/>
            <w:r>
              <w:rPr>
                <w:rFonts w:ascii="Aptos" w:hAnsi="Aptos"/>
                <w:b w:val="0"/>
                <w:color w:val="1E2B33"/>
                <w:sz w:val="16"/>
              </w:rPr>
              <w:t>Texto radicado, Exposición de motivos, objeto y justificación, p. 5.</w:t>
            </w:r>
          </w:p>
          <w:p>
            <w:pPr>
              <w:spacing w:after="0" w:line="252" w:lineRule="auto"/>
            </w:pPr>
            <w:r>
              <w:rPr>
                <w:rFonts w:ascii="Aptos" w:hAnsi="Aptos"/>
                <w:b w:val="0"/>
                <w:color w:val="1E2B33"/>
                <w:sz w:val="16"/>
              </w:rPr>
              <w:t>Contenido de la sesión verificado el 25 de octubre de 2026. Texto radicado verificado el 20 de octubre de 2026.</w:t>
            </w:r>
          </w:p>
        </w:tc>
      </w:tr>
    </w:tbl>
    <w:p>
      <w:r>
        <w:br w:type="page"/>
      </w:r>
    </w:p>
    <w:p>
      <w:pPr>
        <w:keepNext/>
        <w:spacing w:before="100" w:after="100"/>
      </w:pPr>
      <w:r>
        <w:rPr>
          <w:b/>
          <w:color w:val="6B7981"/>
          <w:sz w:val="16"/>
        </w:rPr>
        <w:t>PLENARIA DEL SENADO · 27 DE OCTUBRE DE 2026   /   PROYECTO 12 DE 19</w:t>
      </w:r>
    </w:p>
    <w:p>
      <w:pPr>
        <w:keepNext/>
        <w:spacing w:after="100"/>
      </w:pPr>
      <w:r>
        <w:rPr>
          <w:b/>
          <w:color w:val="203845"/>
          <w:sz w:val="26"/>
        </w:rPr>
        <w:t>PL 119 de 2025 Senado</w:t>
      </w:r>
    </w:p>
    <w:p>
      <w:pPr>
        <w:keepNext/>
        <w:spacing w:after="160"/>
      </w:pPr>
      <w:r>
        <w:rPr>
          <w:b/>
          <w:color w:val="203845"/>
          <w:sz w:val="19"/>
        </w:rPr>
        <w:t>Reconexión de servicios públicos residenciales</w:t>
      </w:r>
    </w:p>
    <w:tbl>
      <w:tblPr>
        <w:tblStyle w:val="TableGrid"/>
        <w:tblW w:type="auto" w:w="0"/>
        <w:jc w:val="center"/>
        <w:tblLayout w:type="fixed"/>
        <w:tblLook w:firstColumn="1" w:firstRow="1" w:lastColumn="0" w:lastRow="0" w:noHBand="0" w:noVBand="1" w:val="04A0"/>
      </w:tblPr>
      <w:tblGrid>
        <w:gridCol w:w="1757"/>
        <w:gridCol w:w="8164"/>
      </w:tblGrid>
      <w:tr>
        <w:tc>
          <w:tcPr>
            <w:tcW w:type="dxa" w:w="1757"/>
            <w:vAlign w:val="top"/>
            <w:shd w:fill="EFF2F3"/>
          </w:tcPr>
          <w:p>
            <w:pPr>
              <w:spacing w:after="0" w:line="252" w:lineRule="auto"/>
            </w:pPr>
            <w:r/>
            <w:r>
              <w:rPr>
                <w:rFonts w:ascii="Aptos" w:hAnsi="Aptos"/>
                <w:b/>
                <w:color w:val="6B7981"/>
                <w:sz w:val="15"/>
              </w:rPr>
              <w:t>TIPO DE LEY</w:t>
            </w:r>
          </w:p>
        </w:tc>
        <w:tc>
          <w:tcPr>
            <w:tcW w:type="dxa" w:w="7143"/>
            <w:vAlign w:val="top"/>
          </w:tcPr>
          <w:p>
            <w:pPr>
              <w:spacing w:after="0" w:line="252" w:lineRule="auto"/>
            </w:pPr>
            <w:r/>
            <w:r>
              <w:rPr>
                <w:rFonts w:ascii="Aptos" w:hAnsi="Aptos"/>
                <w:b w:val="0"/>
                <w:color w:val="1E2B33"/>
                <w:sz w:val="16"/>
              </w:rPr>
              <w:t>Ordinaria</w:t>
            </w:r>
          </w:p>
        </w:tc>
      </w:tr>
      <w:tr>
        <w:tc>
          <w:tcPr>
            <w:tcW w:type="dxa" w:w="1757"/>
            <w:vAlign w:val="top"/>
            <w:shd w:fill="EFF2F3"/>
          </w:tcPr>
          <w:p>
            <w:pPr>
              <w:spacing w:after="0" w:line="252" w:lineRule="auto"/>
            </w:pPr>
            <w:r/>
            <w:r>
              <w:rPr>
                <w:rFonts w:ascii="Aptos" w:hAnsi="Aptos"/>
                <w:b/>
                <w:color w:val="6B7981"/>
                <w:sz w:val="15"/>
              </w:rPr>
              <w:t>ESTADO DOCUMENTADO</w:t>
            </w:r>
          </w:p>
        </w:tc>
        <w:tc>
          <w:tcPr>
            <w:tcW w:type="dxa" w:w="7143"/>
            <w:vAlign w:val="top"/>
          </w:tcPr>
          <w:p>
            <w:pPr>
              <w:spacing w:after="0" w:line="252" w:lineRule="auto"/>
            </w:pPr>
            <w:r/>
            <w:r>
              <w:rPr>
                <w:rFonts w:ascii="Aptos" w:hAnsi="Aptos"/>
                <w:b w:val="0"/>
                <w:color w:val="1E2B33"/>
                <w:sz w:val="16"/>
              </w:rPr>
              <w:t>Último estado documentado: Segundo debate en plenaria del Senado. No se presume un resultado posterior al soporte consultado.</w:t>
            </w:r>
          </w:p>
        </w:tc>
      </w:tr>
      <w:tr>
        <w:tc>
          <w:tcPr>
            <w:tcW w:type="dxa" w:w="1757"/>
            <w:vAlign w:val="top"/>
            <w:shd w:fill="EFF2F3"/>
          </w:tcPr>
          <w:p>
            <w:pPr>
              <w:spacing w:after="0" w:line="252" w:lineRule="auto"/>
            </w:pPr>
            <w:r/>
            <w:r>
              <w:rPr>
                <w:rFonts w:ascii="Aptos" w:hAnsi="Aptos"/>
                <w:b/>
                <w:color w:val="6B7981"/>
                <w:sz w:val="15"/>
              </w:rPr>
              <w:t>ORIGEN</w:t>
            </w:r>
          </w:p>
        </w:tc>
        <w:tc>
          <w:tcPr>
            <w:tcW w:type="dxa" w:w="7143"/>
            <w:vAlign w:val="top"/>
          </w:tcPr>
          <w:p>
            <w:pPr>
              <w:spacing w:after="0" w:line="252" w:lineRule="auto"/>
            </w:pPr>
            <w:r/>
            <w:r>
              <w:rPr>
                <w:rFonts w:ascii="Aptos" w:hAnsi="Aptos"/>
                <w:b w:val="0"/>
                <w:color w:val="1E2B33"/>
                <w:sz w:val="16"/>
              </w:rPr>
              <w:t>Senado de la República · iniciativa congresional</w:t>
            </w:r>
          </w:p>
        </w:tc>
      </w:tr>
      <w:tr>
        <w:tc>
          <w:tcPr>
            <w:tcW w:type="dxa" w:w="1757"/>
            <w:vAlign w:val="top"/>
            <w:shd w:fill="EFF2F3"/>
          </w:tcPr>
          <w:p>
            <w:pPr>
              <w:spacing w:after="0" w:line="252" w:lineRule="auto"/>
            </w:pPr>
            <w:r/>
            <w:r>
              <w:rPr>
                <w:rFonts w:ascii="Aptos" w:hAnsi="Aptos"/>
                <w:b/>
                <w:color w:val="6B7981"/>
                <w:sz w:val="15"/>
              </w:rPr>
              <w:t>COMISIÓN</w:t>
            </w:r>
          </w:p>
        </w:tc>
        <w:tc>
          <w:tcPr>
            <w:tcW w:type="dxa" w:w="7143"/>
            <w:vAlign w:val="top"/>
          </w:tcPr>
          <w:p>
            <w:pPr>
              <w:spacing w:after="0" w:line="252" w:lineRule="auto"/>
            </w:pPr>
            <w:r/>
            <w:r>
              <w:rPr>
                <w:rFonts w:ascii="Aptos" w:hAnsi="Aptos"/>
                <w:b w:val="0"/>
                <w:color w:val="1E2B33"/>
                <w:sz w:val="16"/>
              </w:rPr>
              <w:t>Comisión Sexta del Senado · reparto informado en el portal; la etapa de esta ficha puede corresponder a plenaria</w:t>
            </w:r>
          </w:p>
        </w:tc>
      </w:tr>
      <w:tr>
        <w:tc>
          <w:tcPr>
            <w:tcW w:type="dxa" w:w="1757"/>
            <w:vAlign w:val="top"/>
            <w:shd w:fill="EFF2F3"/>
          </w:tcPr>
          <w:p>
            <w:pPr>
              <w:spacing w:after="0" w:line="252" w:lineRule="auto"/>
            </w:pPr>
            <w:r/>
            <w:r>
              <w:rPr>
                <w:rFonts w:ascii="Aptos" w:hAnsi="Aptos"/>
                <w:b/>
                <w:color w:val="6B7981"/>
                <w:sz w:val="15"/>
              </w:rPr>
              <w:t>ACTIVIDAD DE LA SESIÓN</w:t>
            </w:r>
          </w:p>
        </w:tc>
        <w:tc>
          <w:tcPr>
            <w:tcW w:type="dxa" w:w="7143"/>
            <w:vAlign w:val="top"/>
          </w:tcPr>
          <w:p>
            <w:pPr>
              <w:spacing w:after="0" w:line="252" w:lineRule="auto"/>
            </w:pPr>
            <w:r/>
            <w:r>
              <w:rPr>
                <w:rFonts w:ascii="Aptos" w:hAnsi="Aptos"/>
                <w:b w:val="0"/>
                <w:color w:val="1E2B33"/>
                <w:sz w:val="16"/>
              </w:rPr>
              <w:t>Plenaria del Senado del 27 de octubre de 2026, 15:00 hora de Bogotá. Citada. Discusión y votación previstas.</w:t>
            </w:r>
          </w:p>
        </w:tc>
      </w:tr>
      <w:tr>
        <w:tc>
          <w:tcPr>
            <w:tcW w:type="dxa" w:w="1757"/>
            <w:vAlign w:val="top"/>
            <w:shd w:fill="EFF2F3"/>
          </w:tcPr>
          <w:p>
            <w:pPr>
              <w:spacing w:after="0" w:line="252" w:lineRule="auto"/>
            </w:pPr>
            <w:r/>
            <w:r>
              <w:rPr>
                <w:rFonts w:ascii="Aptos" w:hAnsi="Aptos"/>
                <w:b/>
                <w:color w:val="6B7981"/>
                <w:sz w:val="15"/>
              </w:rPr>
              <w:t>EXPOSICIÓN DE MOTIVOS</w:t>
            </w:r>
          </w:p>
        </w:tc>
        <w:tc>
          <w:tcPr>
            <w:tcW w:type="dxa" w:w="7143"/>
            <w:vAlign w:val="top"/>
          </w:tcPr>
          <w:p>
            <w:pPr>
              <w:spacing w:after="0" w:line="252" w:lineRule="auto"/>
            </w:pPr>
            <w:r/>
            <w:r>
              <w:rPr>
                <w:rFonts w:ascii="Aptos" w:hAnsi="Aptos"/>
                <w:b w:val="0"/>
                <w:color w:val="1E2B33"/>
                <w:sz w:val="16"/>
              </w:rPr>
              <w:t>El autor sostiene que el cobro de reconexión puede convertirse en una barrera adicional para hogares de bajos ingresos que ya pagaron sus facturas atrasadas. La propuesta busca facilitar el restablecimiento de servicios esenciales y evitar costos desproporcionados, con énfasis en la vulnerabilidad económica y habitacional de los estratos 1, 2 y 3.</w:t>
            </w:r>
          </w:p>
        </w:tc>
      </w:tr>
      <w:tr>
        <w:tc>
          <w:tcPr>
            <w:tcW w:type="dxa" w:w="1757"/>
            <w:vAlign w:val="top"/>
            <w:shd w:fill="EFF2F3"/>
          </w:tcPr>
          <w:p>
            <w:pPr>
              <w:spacing w:after="0" w:line="252" w:lineRule="auto"/>
            </w:pPr>
            <w:r/>
            <w:r>
              <w:rPr>
                <w:rFonts w:ascii="Aptos" w:hAnsi="Aptos"/>
                <w:b/>
                <w:color w:val="6B7981"/>
                <w:sz w:val="15"/>
              </w:rPr>
              <w:t>OBJETO DEL PROYECTO</w:t>
            </w:r>
          </w:p>
        </w:tc>
        <w:tc>
          <w:tcPr>
            <w:tcW w:type="dxa" w:w="7143"/>
            <w:vAlign w:val="top"/>
          </w:tcPr>
          <w:p>
            <w:pPr>
              <w:spacing w:after="0" w:line="252" w:lineRule="auto"/>
            </w:pPr>
            <w:r/>
            <w:r>
              <w:rPr>
                <w:rFonts w:ascii="Aptos" w:hAnsi="Aptos"/>
                <w:b w:val="0"/>
                <w:color w:val="1E2B33"/>
                <w:sz w:val="16"/>
              </w:rPr>
              <w:t>Añade el artículo 142A a la Ley 142 de 1994: reconexión sin cargo para estratos 1, 2 y 3 ante mora subsanada por pago o acuerdo, plazo de 24 horas y vigilancia de Superservicios. Exceptúa fraude, manipulación de redes y daño doloso.</w:t>
            </w:r>
          </w:p>
        </w:tc>
      </w:tr>
      <w:tr>
        <w:tc>
          <w:tcPr>
            <w:tcW w:type="dxa" w:w="1757"/>
            <w:vAlign w:val="top"/>
            <w:shd w:fill="EFF2F3"/>
          </w:tcPr>
          <w:p>
            <w:pPr>
              <w:spacing w:after="0" w:line="252" w:lineRule="auto"/>
            </w:pPr>
            <w:r/>
            <w:r>
              <w:rPr>
                <w:rFonts w:ascii="Aptos" w:hAnsi="Aptos"/>
                <w:b/>
                <w:color w:val="6B7981"/>
                <w:sz w:val="15"/>
              </w:rPr>
              <w:t>ANÁLISIS DOCUMENTAL</w:t>
            </w:r>
          </w:p>
        </w:tc>
        <w:tc>
          <w:tcPr>
            <w:tcW w:type="dxa" w:w="7143"/>
            <w:vAlign w:val="top"/>
          </w:tcPr>
          <w:p>
            <w:pPr>
              <w:spacing w:after="0" w:line="252" w:lineRule="auto"/>
            </w:pPr>
            <w:r/>
            <w:r>
              <w:rPr>
                <w:rFonts w:ascii="Aptos" w:hAnsi="Aptos"/>
                <w:b w:val="0"/>
                <w:color w:val="1E2B33"/>
                <w:sz w:val="16"/>
              </w:rPr>
              <w:t>La ponencia 2193/2025 propone un régimen especial para usuarios residenciales de estratos 1, 2 y 3: reconexión o reinstalación sin cobro cuando la suspensión se deba exclusivamente a mora subsanada mediante pago o acuerdo. Restablecimiento máximo en 24 horas; vigilancia de Superservicios. Conserva cobro por fraude, manipulación de redes o daño doloso. No elimina la deuda por consumo ni toda causal de cobro.</w:t>
            </w:r>
          </w:p>
        </w:tc>
      </w:tr>
      <w:tr>
        <w:tc>
          <w:tcPr>
            <w:tcW w:type="dxa" w:w="1757"/>
            <w:vAlign w:val="top"/>
            <w:shd w:fill="EFF2F3"/>
          </w:tcPr>
          <w:p>
            <w:pPr>
              <w:spacing w:after="0" w:line="252" w:lineRule="auto"/>
            </w:pPr>
            <w:r/>
            <w:r>
              <w:rPr>
                <w:rFonts w:ascii="Aptos" w:hAnsi="Aptos"/>
                <w:b/>
                <w:color w:val="6B7981"/>
                <w:sz w:val="15"/>
              </w:rPr>
              <w:t>PONENTES</w:t>
            </w:r>
          </w:p>
        </w:tc>
        <w:tc>
          <w:tcPr>
            <w:tcW w:type="dxa" w:w="7143"/>
            <w:vAlign w:val="top"/>
          </w:tcPr>
          <w:p>
            <w:pPr>
              <w:spacing w:after="0" w:line="252" w:lineRule="auto"/>
            </w:pPr>
            <w:r/>
            <w:r>
              <w:rPr>
                <w:rFonts w:ascii="Aptos" w:hAnsi="Aptos"/>
                <w:b w:val="0"/>
                <w:color w:val="1E2B33"/>
                <w:sz w:val="16"/>
              </w:rPr>
              <w:t>Gustavo Adolfo Moreno Hurtado · segundo debate en Senado.</w:t>
            </w:r>
          </w:p>
        </w:tc>
      </w:tr>
      <w:tr>
        <w:tc>
          <w:tcPr>
            <w:tcW w:type="dxa" w:w="1757"/>
            <w:vAlign w:val="top"/>
            <w:shd w:fill="EFF2F3"/>
          </w:tcPr>
          <w:p>
            <w:pPr>
              <w:spacing w:after="0" w:line="252" w:lineRule="auto"/>
            </w:pPr>
            <w:r/>
            <w:r>
              <w:rPr>
                <w:rFonts w:ascii="Aptos" w:hAnsi="Aptos"/>
                <w:b/>
                <w:color w:val="6B7981"/>
                <w:sz w:val="15"/>
              </w:rPr>
              <w:t>SOPORTES IDENTIFICADOS</w:t>
            </w:r>
          </w:p>
        </w:tc>
        <w:tc>
          <w:tcPr>
            <w:tcW w:type="dxa" w:w="7143"/>
            <w:vAlign w:val="top"/>
          </w:tcPr>
          <w:p>
            <w:pPr>
              <w:spacing w:after="0" w:line="252" w:lineRule="auto"/>
            </w:pPr>
            <w:r/>
            <w:r>
              <w:rPr>
                <w:rFonts w:ascii="Aptos" w:hAnsi="Aptos"/>
                <w:b w:val="0"/>
                <w:color w:val="1E2B33"/>
                <w:sz w:val="16"/>
              </w:rPr>
              <w:t>Orden o soporte de sesión; Texto radicado; Ponencia o soporte actual; Fuente de ponentes. Consultar expediente digital para acceder a los documentos oficiales.</w:t>
            </w:r>
          </w:p>
        </w:tc>
      </w:tr>
      <w:tr>
        <w:tc>
          <w:tcPr>
            <w:tcW w:type="dxa" w:w="1757"/>
            <w:vAlign w:val="top"/>
            <w:shd w:fill="EFF2F3"/>
          </w:tcPr>
          <w:p>
            <w:pPr>
              <w:spacing w:after="0" w:line="252" w:lineRule="auto"/>
            </w:pPr>
            <w:r/>
            <w:r>
              <w:rPr>
                <w:rFonts w:ascii="Aptos" w:hAnsi="Aptos"/>
                <w:b/>
                <w:color w:val="6B7981"/>
                <w:sz w:val="15"/>
              </w:rPr>
              <w:t>NOTAS DE VERIFICACIÓN</w:t>
            </w:r>
          </w:p>
        </w:tc>
        <w:tc>
          <w:tcPr>
            <w:tcW w:type="dxa" w:w="7143"/>
            <w:vAlign w:val="top"/>
          </w:tcPr>
          <w:p>
            <w:pPr>
              <w:spacing w:after="40" w:line="252" w:lineRule="auto"/>
            </w:pPr>
            <w:r/>
            <w:r>
              <w:rPr>
                <w:rFonts w:ascii="Aptos" w:hAnsi="Aptos"/>
                <w:b w:val="0"/>
                <w:color w:val="1E2B33"/>
                <w:sz w:val="16"/>
              </w:rPr>
              <w:t>Texto radicado, Exposición de motivos, p. 7.</w:t>
            </w:r>
          </w:p>
          <w:p>
            <w:pPr>
              <w:spacing w:after="0" w:line="252" w:lineRule="auto"/>
            </w:pPr>
            <w:r>
              <w:rPr>
                <w:rFonts w:ascii="Aptos" w:hAnsi="Aptos"/>
                <w:b w:val="0"/>
                <w:color w:val="1E2B33"/>
                <w:sz w:val="16"/>
              </w:rPr>
              <w:t>Contenido de la sesión verificado el 25 de octubre de 2026. Texto radicado verificado el 25 de octubre de 2026.</w:t>
            </w:r>
          </w:p>
        </w:tc>
      </w:tr>
    </w:tbl>
    <w:p>
      <w:r>
        <w:br w:type="page"/>
      </w:r>
    </w:p>
    <w:p>
      <w:pPr>
        <w:keepNext/>
        <w:spacing w:before="100" w:after="100"/>
      </w:pPr>
      <w:r>
        <w:rPr>
          <w:b/>
          <w:color w:val="6B7981"/>
          <w:sz w:val="16"/>
        </w:rPr>
        <w:t>PLENARIA DEL SENADO · 27 DE OCTUBRE DE 2026   /   PROYECTO 13 DE 19</w:t>
      </w:r>
    </w:p>
    <w:p>
      <w:pPr>
        <w:keepNext/>
        <w:spacing w:after="100"/>
      </w:pPr>
      <w:r>
        <w:rPr>
          <w:b/>
          <w:color w:val="203845"/>
          <w:sz w:val="26"/>
        </w:rPr>
        <w:t>PL 124 de 2025 Senado</w:t>
      </w:r>
    </w:p>
    <w:p>
      <w:pPr>
        <w:keepNext/>
        <w:spacing w:after="160"/>
      </w:pPr>
      <w:r>
        <w:rPr>
          <w:b/>
          <w:color w:val="203845"/>
          <w:sz w:val="19"/>
        </w:rPr>
        <w:t>El turbante y sus saberes asociados</w:t>
      </w:r>
    </w:p>
    <w:tbl>
      <w:tblPr>
        <w:tblStyle w:val="TableGrid"/>
        <w:tblW w:type="auto" w:w="0"/>
        <w:jc w:val="center"/>
        <w:tblLayout w:type="fixed"/>
        <w:tblLook w:firstColumn="1" w:firstRow="1" w:lastColumn="0" w:lastRow="0" w:noHBand="0" w:noVBand="1" w:val="04A0"/>
      </w:tblPr>
      <w:tblGrid>
        <w:gridCol w:w="1757"/>
        <w:gridCol w:w="8164"/>
      </w:tblGrid>
      <w:tr>
        <w:tc>
          <w:tcPr>
            <w:tcW w:type="dxa" w:w="1757"/>
            <w:vAlign w:val="top"/>
            <w:shd w:fill="EFF2F3"/>
          </w:tcPr>
          <w:p>
            <w:pPr>
              <w:spacing w:after="0" w:line="252" w:lineRule="auto"/>
            </w:pPr>
            <w:r/>
            <w:r>
              <w:rPr>
                <w:rFonts w:ascii="Aptos" w:hAnsi="Aptos"/>
                <w:b/>
                <w:color w:val="6B7981"/>
                <w:sz w:val="15"/>
              </w:rPr>
              <w:t>TIPO DE LEY</w:t>
            </w:r>
          </w:p>
        </w:tc>
        <w:tc>
          <w:tcPr>
            <w:tcW w:type="dxa" w:w="7143"/>
            <w:vAlign w:val="top"/>
          </w:tcPr>
          <w:p>
            <w:pPr>
              <w:spacing w:after="0" w:line="252" w:lineRule="auto"/>
            </w:pPr>
            <w:r/>
            <w:r>
              <w:rPr>
                <w:rFonts w:ascii="Aptos" w:hAnsi="Aptos"/>
                <w:b w:val="0"/>
                <w:color w:val="1E2B33"/>
                <w:sz w:val="16"/>
              </w:rPr>
              <w:t>Ordinaria</w:t>
            </w:r>
          </w:p>
        </w:tc>
      </w:tr>
      <w:tr>
        <w:tc>
          <w:tcPr>
            <w:tcW w:type="dxa" w:w="1757"/>
            <w:vAlign w:val="top"/>
            <w:shd w:fill="EFF2F3"/>
          </w:tcPr>
          <w:p>
            <w:pPr>
              <w:spacing w:after="0" w:line="252" w:lineRule="auto"/>
            </w:pPr>
            <w:r/>
            <w:r>
              <w:rPr>
                <w:rFonts w:ascii="Aptos" w:hAnsi="Aptos"/>
                <w:b/>
                <w:color w:val="6B7981"/>
                <w:sz w:val="15"/>
              </w:rPr>
              <w:t>ESTADO DOCUMENTADO</w:t>
            </w:r>
          </w:p>
        </w:tc>
        <w:tc>
          <w:tcPr>
            <w:tcW w:type="dxa" w:w="7143"/>
            <w:vAlign w:val="top"/>
          </w:tcPr>
          <w:p>
            <w:pPr>
              <w:spacing w:after="0" w:line="252" w:lineRule="auto"/>
            </w:pPr>
            <w:r/>
            <w:r>
              <w:rPr>
                <w:rFonts w:ascii="Aptos" w:hAnsi="Aptos"/>
                <w:b w:val="0"/>
                <w:color w:val="1E2B33"/>
                <w:sz w:val="16"/>
              </w:rPr>
              <w:t>Último estado documentado: Segundo debate en plenaria del Senado. No se presume un resultado posterior al soporte consultado.</w:t>
            </w:r>
          </w:p>
        </w:tc>
      </w:tr>
      <w:tr>
        <w:tc>
          <w:tcPr>
            <w:tcW w:type="dxa" w:w="1757"/>
            <w:vAlign w:val="top"/>
            <w:shd w:fill="EFF2F3"/>
          </w:tcPr>
          <w:p>
            <w:pPr>
              <w:spacing w:after="0" w:line="252" w:lineRule="auto"/>
            </w:pPr>
            <w:r/>
            <w:r>
              <w:rPr>
                <w:rFonts w:ascii="Aptos" w:hAnsi="Aptos"/>
                <w:b/>
                <w:color w:val="6B7981"/>
                <w:sz w:val="15"/>
              </w:rPr>
              <w:t>ORIGEN</w:t>
            </w:r>
          </w:p>
        </w:tc>
        <w:tc>
          <w:tcPr>
            <w:tcW w:type="dxa" w:w="7143"/>
            <w:vAlign w:val="top"/>
          </w:tcPr>
          <w:p>
            <w:pPr>
              <w:spacing w:after="0" w:line="252" w:lineRule="auto"/>
            </w:pPr>
            <w:r/>
            <w:r>
              <w:rPr>
                <w:rFonts w:ascii="Aptos" w:hAnsi="Aptos"/>
                <w:b w:val="0"/>
                <w:color w:val="1E2B33"/>
                <w:sz w:val="16"/>
              </w:rPr>
              <w:t>Senado de la República · iniciativa congresional</w:t>
            </w:r>
          </w:p>
        </w:tc>
      </w:tr>
      <w:tr>
        <w:tc>
          <w:tcPr>
            <w:tcW w:type="dxa" w:w="1757"/>
            <w:vAlign w:val="top"/>
            <w:shd w:fill="EFF2F3"/>
          </w:tcPr>
          <w:p>
            <w:pPr>
              <w:spacing w:after="0" w:line="252" w:lineRule="auto"/>
            </w:pPr>
            <w:r/>
            <w:r>
              <w:rPr>
                <w:rFonts w:ascii="Aptos" w:hAnsi="Aptos"/>
                <w:b/>
                <w:color w:val="6B7981"/>
                <w:sz w:val="15"/>
              </w:rPr>
              <w:t>COMISIÓN</w:t>
            </w:r>
          </w:p>
        </w:tc>
        <w:tc>
          <w:tcPr>
            <w:tcW w:type="dxa" w:w="7143"/>
            <w:vAlign w:val="top"/>
          </w:tcPr>
          <w:p>
            <w:pPr>
              <w:spacing w:after="0" w:line="252" w:lineRule="auto"/>
            </w:pPr>
            <w:r/>
            <w:r>
              <w:rPr>
                <w:rFonts w:ascii="Aptos" w:hAnsi="Aptos"/>
                <w:b w:val="0"/>
                <w:color w:val="1E2B33"/>
                <w:sz w:val="16"/>
              </w:rPr>
              <w:t>Comisión Sexta del Senado · reparto informado en el portal; la etapa de esta ficha puede corresponder a plenaria</w:t>
            </w:r>
          </w:p>
        </w:tc>
      </w:tr>
      <w:tr>
        <w:tc>
          <w:tcPr>
            <w:tcW w:type="dxa" w:w="1757"/>
            <w:vAlign w:val="top"/>
            <w:shd w:fill="EFF2F3"/>
          </w:tcPr>
          <w:p>
            <w:pPr>
              <w:spacing w:after="0" w:line="252" w:lineRule="auto"/>
            </w:pPr>
            <w:r/>
            <w:r>
              <w:rPr>
                <w:rFonts w:ascii="Aptos" w:hAnsi="Aptos"/>
                <w:b/>
                <w:color w:val="6B7981"/>
                <w:sz w:val="15"/>
              </w:rPr>
              <w:t>ACTIVIDAD DE LA SESIÓN</w:t>
            </w:r>
          </w:p>
        </w:tc>
        <w:tc>
          <w:tcPr>
            <w:tcW w:type="dxa" w:w="7143"/>
            <w:vAlign w:val="top"/>
          </w:tcPr>
          <w:p>
            <w:pPr>
              <w:spacing w:after="0" w:line="252" w:lineRule="auto"/>
            </w:pPr>
            <w:r/>
            <w:r>
              <w:rPr>
                <w:rFonts w:ascii="Aptos" w:hAnsi="Aptos"/>
                <w:b w:val="0"/>
                <w:color w:val="1E2B33"/>
                <w:sz w:val="16"/>
              </w:rPr>
              <w:t>Plenaria del Senado del 27 de octubre de 2026, 15:00 hora de Bogotá. Citada. Discusión y votación previstas.</w:t>
            </w:r>
          </w:p>
        </w:tc>
      </w:tr>
      <w:tr>
        <w:tc>
          <w:tcPr>
            <w:tcW w:type="dxa" w:w="1757"/>
            <w:vAlign w:val="top"/>
            <w:shd w:fill="EFF2F3"/>
          </w:tcPr>
          <w:p>
            <w:pPr>
              <w:spacing w:after="0" w:line="252" w:lineRule="auto"/>
            </w:pPr>
            <w:r/>
            <w:r>
              <w:rPr>
                <w:rFonts w:ascii="Aptos" w:hAnsi="Aptos"/>
                <w:b/>
                <w:color w:val="6B7981"/>
                <w:sz w:val="15"/>
              </w:rPr>
              <w:t>EXPOSICIÓN DE MOTIVOS</w:t>
            </w:r>
          </w:p>
        </w:tc>
        <w:tc>
          <w:tcPr>
            <w:tcW w:type="dxa" w:w="7143"/>
            <w:vAlign w:val="top"/>
          </w:tcPr>
          <w:p>
            <w:pPr>
              <w:spacing w:after="0" w:line="252" w:lineRule="auto"/>
            </w:pPr>
            <w:r/>
            <w:r>
              <w:rPr>
                <w:rFonts w:ascii="Aptos" w:hAnsi="Aptos"/>
                <w:b w:val="0"/>
                <w:color w:val="1E2B33"/>
                <w:sz w:val="16"/>
              </w:rPr>
              <w:t>La exposición presenta el turbante como expresión de identidad, resistencia y saberes transmitidos entre generaciones, y como medio de organización y emprendimiento de mujeres afrocolombianas. Justifica su salvaguardia como reconocimiento cultural y reparación simbólica frente a formas de discriminación y exclusión.</w:t>
            </w:r>
          </w:p>
        </w:tc>
      </w:tr>
      <w:tr>
        <w:tc>
          <w:tcPr>
            <w:tcW w:type="dxa" w:w="1757"/>
            <w:vAlign w:val="top"/>
            <w:shd w:fill="EFF2F3"/>
          </w:tcPr>
          <w:p>
            <w:pPr>
              <w:spacing w:after="0" w:line="252" w:lineRule="auto"/>
            </w:pPr>
            <w:r/>
            <w:r>
              <w:rPr>
                <w:rFonts w:ascii="Aptos" w:hAnsi="Aptos"/>
                <w:b/>
                <w:color w:val="6B7981"/>
                <w:sz w:val="15"/>
              </w:rPr>
              <w:t>OBJETO DEL PROYECTO</w:t>
            </w:r>
          </w:p>
        </w:tc>
        <w:tc>
          <w:tcPr>
            <w:tcW w:type="dxa" w:w="7143"/>
            <w:vAlign w:val="top"/>
          </w:tcPr>
          <w:p>
            <w:pPr>
              <w:spacing w:after="0" w:line="252" w:lineRule="auto"/>
            </w:pPr>
            <w:r/>
            <w:r>
              <w:rPr>
                <w:rFonts w:ascii="Aptos" w:hAnsi="Aptos"/>
                <w:b w:val="0"/>
                <w:color w:val="1E2B33"/>
                <w:sz w:val="16"/>
              </w:rPr>
              <w:t>Declara el turbante y sus saberes como patrimonio cultural inmaterial; propone una red nacional de mujeres sabedoras, formación, emprendimiento, pedagogía y educación intercultural. Es el texto inicial; la ponencia posterior exige el trámite administrativo patrimonial.</w:t>
            </w:r>
          </w:p>
        </w:tc>
      </w:tr>
      <w:tr>
        <w:tc>
          <w:tcPr>
            <w:tcW w:type="dxa" w:w="1757"/>
            <w:vAlign w:val="top"/>
            <w:shd w:fill="EFF2F3"/>
          </w:tcPr>
          <w:p>
            <w:pPr>
              <w:spacing w:after="0" w:line="252" w:lineRule="auto"/>
            </w:pPr>
            <w:r/>
            <w:r>
              <w:rPr>
                <w:rFonts w:ascii="Aptos" w:hAnsi="Aptos"/>
                <w:b/>
                <w:color w:val="6B7981"/>
                <w:sz w:val="15"/>
              </w:rPr>
              <w:t>ANÁLISIS DOCUMENTAL</w:t>
            </w:r>
          </w:p>
        </w:tc>
        <w:tc>
          <w:tcPr>
            <w:tcW w:type="dxa" w:w="7143"/>
            <w:vAlign w:val="top"/>
          </w:tcPr>
          <w:p>
            <w:pPr>
              <w:spacing w:after="0" w:line="252" w:lineRule="auto"/>
            </w:pPr>
            <w:r/>
            <w:r>
              <w:rPr>
                <w:rFonts w:ascii="Aptos" w:hAnsi="Aptos"/>
                <w:b w:val="0"/>
                <w:color w:val="1E2B33"/>
                <w:sz w:val="16"/>
              </w:rPr>
              <w:t>La ponencia 1412/2026 reconoce el turbante y sus manifestaciones afrodescendientes y crea una red nacional de mujeres sabedoras, emprendedoras y empresarias, con formación, transmisión y educación intercultural. La inclusión en la lista de patrimonio debe surtir el procedimiento de la Ley 397 de 1997; no se presenta como inscripción automática. El texto inicial usa una declaratoria directa; se distinguen los dos documentos.</w:t>
            </w:r>
          </w:p>
        </w:tc>
      </w:tr>
      <w:tr>
        <w:tc>
          <w:tcPr>
            <w:tcW w:type="dxa" w:w="1757"/>
            <w:vAlign w:val="top"/>
            <w:shd w:fill="EFF2F3"/>
          </w:tcPr>
          <w:p>
            <w:pPr>
              <w:spacing w:after="0" w:line="252" w:lineRule="auto"/>
            </w:pPr>
            <w:r/>
            <w:r>
              <w:rPr>
                <w:rFonts w:ascii="Aptos" w:hAnsi="Aptos"/>
                <w:b/>
                <w:color w:val="6B7981"/>
                <w:sz w:val="15"/>
              </w:rPr>
              <w:t>PONENTES</w:t>
            </w:r>
          </w:p>
        </w:tc>
        <w:tc>
          <w:tcPr>
            <w:tcW w:type="dxa" w:w="7143"/>
            <w:vAlign w:val="top"/>
          </w:tcPr>
          <w:p>
            <w:pPr>
              <w:spacing w:after="0" w:line="252" w:lineRule="auto"/>
            </w:pPr>
            <w:r/>
            <w:r>
              <w:rPr>
                <w:rFonts w:ascii="Aptos" w:hAnsi="Aptos"/>
                <w:b w:val="0"/>
                <w:color w:val="1E2B33"/>
                <w:sz w:val="16"/>
              </w:rPr>
              <w:t>Ana Paola García Soto · coordinadora ponente para segundo debate.</w:t>
            </w:r>
          </w:p>
        </w:tc>
      </w:tr>
      <w:tr>
        <w:tc>
          <w:tcPr>
            <w:tcW w:type="dxa" w:w="1757"/>
            <w:vAlign w:val="top"/>
            <w:shd w:fill="EFF2F3"/>
          </w:tcPr>
          <w:p>
            <w:pPr>
              <w:spacing w:after="0" w:line="252" w:lineRule="auto"/>
            </w:pPr>
            <w:r/>
            <w:r>
              <w:rPr>
                <w:rFonts w:ascii="Aptos" w:hAnsi="Aptos"/>
                <w:b/>
                <w:color w:val="6B7981"/>
                <w:sz w:val="15"/>
              </w:rPr>
              <w:t>SOPORTES IDENTIFICADOS</w:t>
            </w:r>
          </w:p>
        </w:tc>
        <w:tc>
          <w:tcPr>
            <w:tcW w:type="dxa" w:w="7143"/>
            <w:vAlign w:val="top"/>
          </w:tcPr>
          <w:p>
            <w:pPr>
              <w:spacing w:after="0" w:line="252" w:lineRule="auto"/>
            </w:pPr>
            <w:r/>
            <w:r>
              <w:rPr>
                <w:rFonts w:ascii="Aptos" w:hAnsi="Aptos"/>
                <w:b w:val="0"/>
                <w:color w:val="1E2B33"/>
                <w:sz w:val="16"/>
              </w:rPr>
              <w:t>Orden o soporte de sesión; Texto radicado; Ponencia o soporte actual; Fuente de ponentes. Consultar expediente digital para acceder a los documentos oficiales.</w:t>
            </w:r>
          </w:p>
        </w:tc>
      </w:tr>
      <w:tr>
        <w:tc>
          <w:tcPr>
            <w:tcW w:type="dxa" w:w="1757"/>
            <w:vAlign w:val="top"/>
            <w:shd w:fill="EFF2F3"/>
          </w:tcPr>
          <w:p>
            <w:pPr>
              <w:spacing w:after="0" w:line="252" w:lineRule="auto"/>
            </w:pPr>
            <w:r/>
            <w:r>
              <w:rPr>
                <w:rFonts w:ascii="Aptos" w:hAnsi="Aptos"/>
                <w:b/>
                <w:color w:val="6B7981"/>
                <w:sz w:val="15"/>
              </w:rPr>
              <w:t>NOTAS DE VERIFICACIÓN</w:t>
            </w:r>
          </w:p>
        </w:tc>
        <w:tc>
          <w:tcPr>
            <w:tcW w:type="dxa" w:w="7143"/>
            <w:vAlign w:val="top"/>
          </w:tcPr>
          <w:p>
            <w:pPr>
              <w:spacing w:after="40" w:line="252" w:lineRule="auto"/>
            </w:pPr>
            <w:r/>
            <w:r>
              <w:rPr>
                <w:rFonts w:ascii="Aptos" w:hAnsi="Aptos"/>
                <w:b w:val="0"/>
                <w:color w:val="1E2B33"/>
                <w:sz w:val="16"/>
              </w:rPr>
              <w:t>Texto radicado, justificación y argumentos de la exposición, p. 7 del PDF.</w:t>
            </w:r>
          </w:p>
          <w:p>
            <w:pPr>
              <w:spacing w:after="0" w:line="252" w:lineRule="auto"/>
            </w:pPr>
            <w:r>
              <w:rPr>
                <w:rFonts w:ascii="Aptos" w:hAnsi="Aptos"/>
                <w:b w:val="0"/>
                <w:color w:val="1E2B33"/>
                <w:sz w:val="16"/>
              </w:rPr>
              <w:t>Contenido de la sesión verificado el 25 de octubre de 2026. Texto radicado verificado el 25 de octubre de 2026.</w:t>
            </w:r>
          </w:p>
        </w:tc>
      </w:tr>
    </w:tbl>
    <w:p>
      <w:r>
        <w:br w:type="page"/>
      </w:r>
    </w:p>
    <w:p>
      <w:pPr>
        <w:keepNext/>
        <w:spacing w:before="100" w:after="100"/>
      </w:pPr>
      <w:r>
        <w:rPr>
          <w:b/>
          <w:color w:val="6B7981"/>
          <w:sz w:val="16"/>
        </w:rPr>
        <w:t>PLENARIA DEL SENADO · 27 DE OCTUBRE DE 2026   /   PROYECTO 14 DE 19</w:t>
      </w:r>
    </w:p>
    <w:p>
      <w:pPr>
        <w:keepNext/>
        <w:spacing w:after="100"/>
      </w:pPr>
      <w:r>
        <w:rPr>
          <w:b/>
          <w:color w:val="203845"/>
          <w:sz w:val="26"/>
        </w:rPr>
        <w:t>PL 106 de 2026 Senado</w:t>
      </w:r>
    </w:p>
    <w:p>
      <w:pPr>
        <w:keepNext/>
        <w:spacing w:after="160"/>
      </w:pPr>
      <w:r>
        <w:rPr>
          <w:b/>
          <w:color w:val="203845"/>
          <w:sz w:val="19"/>
        </w:rPr>
        <w:t>Sostenimiento estudiantil y transferencias monetarias juveniles</w:t>
      </w:r>
    </w:p>
    <w:tbl>
      <w:tblPr>
        <w:tblStyle w:val="TableGrid"/>
        <w:tblW w:type="auto" w:w="0"/>
        <w:jc w:val="center"/>
        <w:tblLayout w:type="fixed"/>
        <w:tblLook w:firstColumn="1" w:firstRow="1" w:lastColumn="0" w:lastRow="0" w:noHBand="0" w:noVBand="1" w:val="04A0"/>
      </w:tblPr>
      <w:tblGrid>
        <w:gridCol w:w="1757"/>
        <w:gridCol w:w="8164"/>
      </w:tblGrid>
      <w:tr>
        <w:tc>
          <w:tcPr>
            <w:tcW w:type="dxa" w:w="1757"/>
            <w:vAlign w:val="top"/>
            <w:shd w:fill="EFF2F3"/>
          </w:tcPr>
          <w:p>
            <w:pPr>
              <w:spacing w:after="0" w:line="252" w:lineRule="auto"/>
            </w:pPr>
            <w:r/>
            <w:r>
              <w:rPr>
                <w:rFonts w:ascii="Aptos" w:hAnsi="Aptos"/>
                <w:b/>
                <w:color w:val="6B7981"/>
                <w:sz w:val="15"/>
              </w:rPr>
              <w:t>TIPO DE LEY</w:t>
            </w:r>
          </w:p>
        </w:tc>
        <w:tc>
          <w:tcPr>
            <w:tcW w:type="dxa" w:w="7143"/>
            <w:vAlign w:val="top"/>
          </w:tcPr>
          <w:p>
            <w:pPr>
              <w:spacing w:after="0" w:line="252" w:lineRule="auto"/>
            </w:pPr>
            <w:r/>
            <w:r>
              <w:rPr>
                <w:rFonts w:ascii="Aptos" w:hAnsi="Aptos"/>
                <w:b w:val="0"/>
                <w:color w:val="1E2B33"/>
                <w:sz w:val="16"/>
              </w:rPr>
              <w:t>Ordinaria</w:t>
            </w:r>
          </w:p>
        </w:tc>
      </w:tr>
      <w:tr>
        <w:tc>
          <w:tcPr>
            <w:tcW w:type="dxa" w:w="1757"/>
            <w:vAlign w:val="top"/>
            <w:shd w:fill="EFF2F3"/>
          </w:tcPr>
          <w:p>
            <w:pPr>
              <w:spacing w:after="0" w:line="252" w:lineRule="auto"/>
            </w:pPr>
            <w:r/>
            <w:r>
              <w:rPr>
                <w:rFonts w:ascii="Aptos" w:hAnsi="Aptos"/>
                <w:b/>
                <w:color w:val="6B7981"/>
                <w:sz w:val="15"/>
              </w:rPr>
              <w:t>ESTADO DOCUMENTADO</w:t>
            </w:r>
          </w:p>
        </w:tc>
        <w:tc>
          <w:tcPr>
            <w:tcW w:type="dxa" w:w="7143"/>
            <w:vAlign w:val="top"/>
          </w:tcPr>
          <w:p>
            <w:pPr>
              <w:spacing w:after="0" w:line="252" w:lineRule="auto"/>
            </w:pPr>
            <w:r/>
            <w:r>
              <w:rPr>
                <w:rFonts w:ascii="Aptos" w:hAnsi="Aptos"/>
                <w:b w:val="0"/>
                <w:color w:val="1E2B33"/>
                <w:sz w:val="16"/>
              </w:rPr>
              <w:t>Último estado documentado: Segundo debate en plenaria del Senado. No se presume un resultado posterior al soporte consultado.</w:t>
            </w:r>
          </w:p>
        </w:tc>
      </w:tr>
      <w:tr>
        <w:tc>
          <w:tcPr>
            <w:tcW w:type="dxa" w:w="1757"/>
            <w:vAlign w:val="top"/>
            <w:shd w:fill="EFF2F3"/>
          </w:tcPr>
          <w:p>
            <w:pPr>
              <w:spacing w:after="0" w:line="252" w:lineRule="auto"/>
            </w:pPr>
            <w:r/>
            <w:r>
              <w:rPr>
                <w:rFonts w:ascii="Aptos" w:hAnsi="Aptos"/>
                <w:b/>
                <w:color w:val="6B7981"/>
                <w:sz w:val="15"/>
              </w:rPr>
              <w:t>ORIGEN</w:t>
            </w:r>
          </w:p>
        </w:tc>
        <w:tc>
          <w:tcPr>
            <w:tcW w:type="dxa" w:w="7143"/>
            <w:vAlign w:val="top"/>
          </w:tcPr>
          <w:p>
            <w:pPr>
              <w:spacing w:after="0" w:line="252" w:lineRule="auto"/>
            </w:pPr>
            <w:r/>
            <w:r>
              <w:rPr>
                <w:rFonts w:ascii="Aptos" w:hAnsi="Aptos"/>
                <w:b w:val="0"/>
                <w:color w:val="1E2B33"/>
                <w:sz w:val="16"/>
              </w:rPr>
              <w:t>Senado de la República · iniciativa congresional</w:t>
            </w:r>
          </w:p>
        </w:tc>
      </w:tr>
      <w:tr>
        <w:tc>
          <w:tcPr>
            <w:tcW w:type="dxa" w:w="1757"/>
            <w:vAlign w:val="top"/>
            <w:shd w:fill="EFF2F3"/>
          </w:tcPr>
          <w:p>
            <w:pPr>
              <w:spacing w:after="0" w:line="252" w:lineRule="auto"/>
            </w:pPr>
            <w:r/>
            <w:r>
              <w:rPr>
                <w:rFonts w:ascii="Aptos" w:hAnsi="Aptos"/>
                <w:b/>
                <w:color w:val="6B7981"/>
                <w:sz w:val="15"/>
              </w:rPr>
              <w:t>COMISIÓN</w:t>
            </w:r>
          </w:p>
        </w:tc>
        <w:tc>
          <w:tcPr>
            <w:tcW w:type="dxa" w:w="7143"/>
            <w:vAlign w:val="top"/>
          </w:tcPr>
          <w:p>
            <w:pPr>
              <w:spacing w:after="0" w:line="252" w:lineRule="auto"/>
            </w:pPr>
            <w:r/>
            <w:r>
              <w:rPr>
                <w:rFonts w:ascii="Aptos" w:hAnsi="Aptos"/>
                <w:b w:val="0"/>
                <w:color w:val="1E2B33"/>
                <w:sz w:val="16"/>
              </w:rPr>
              <w:t>Comisión Sexta del Senado · reparto informado en el portal; la etapa de esta ficha puede corresponder a plenaria</w:t>
            </w:r>
          </w:p>
        </w:tc>
      </w:tr>
      <w:tr>
        <w:tc>
          <w:tcPr>
            <w:tcW w:type="dxa" w:w="1757"/>
            <w:vAlign w:val="top"/>
            <w:shd w:fill="EFF2F3"/>
          </w:tcPr>
          <w:p>
            <w:pPr>
              <w:spacing w:after="0" w:line="252" w:lineRule="auto"/>
            </w:pPr>
            <w:r/>
            <w:r>
              <w:rPr>
                <w:rFonts w:ascii="Aptos" w:hAnsi="Aptos"/>
                <w:b/>
                <w:color w:val="6B7981"/>
                <w:sz w:val="15"/>
              </w:rPr>
              <w:t>ACTIVIDAD DE LA SESIÓN</w:t>
            </w:r>
          </w:p>
        </w:tc>
        <w:tc>
          <w:tcPr>
            <w:tcW w:type="dxa" w:w="7143"/>
            <w:vAlign w:val="top"/>
          </w:tcPr>
          <w:p>
            <w:pPr>
              <w:spacing w:after="0" w:line="252" w:lineRule="auto"/>
            </w:pPr>
            <w:r/>
            <w:r>
              <w:rPr>
                <w:rFonts w:ascii="Aptos" w:hAnsi="Aptos"/>
                <w:b w:val="0"/>
                <w:color w:val="1E2B33"/>
                <w:sz w:val="16"/>
              </w:rPr>
              <w:t>Plenaria del Senado del 27 de octubre de 2026, 15:00 hora de Bogotá. Citada. Discusión y votación previstas.</w:t>
            </w:r>
          </w:p>
        </w:tc>
      </w:tr>
      <w:tr>
        <w:tc>
          <w:tcPr>
            <w:tcW w:type="dxa" w:w="1757"/>
            <w:vAlign w:val="top"/>
            <w:shd w:fill="EFF2F3"/>
          </w:tcPr>
          <w:p>
            <w:pPr>
              <w:spacing w:after="0" w:line="252" w:lineRule="auto"/>
            </w:pPr>
            <w:r/>
            <w:r>
              <w:rPr>
                <w:rFonts w:ascii="Aptos" w:hAnsi="Aptos"/>
                <w:b/>
                <w:color w:val="6B7981"/>
                <w:sz w:val="15"/>
              </w:rPr>
              <w:t>EXPOSICIÓN DE MOTIVOS</w:t>
            </w:r>
          </w:p>
        </w:tc>
        <w:tc>
          <w:tcPr>
            <w:tcW w:type="dxa" w:w="7143"/>
            <w:vAlign w:val="top"/>
          </w:tcPr>
          <w:p>
            <w:pPr>
              <w:spacing w:after="0" w:line="252" w:lineRule="auto"/>
            </w:pPr>
            <w:r/>
            <w:r>
              <w:rPr>
                <w:rFonts w:ascii="Aptos" w:hAnsi="Aptos"/>
                <w:b w:val="0"/>
                <w:color w:val="1E2B33"/>
                <w:sz w:val="16"/>
              </w:rPr>
              <w:t>El autor considera que las restricciones fiscales y la competencia por recursos pueden debilitar los apoyos que permiten a los estudiantes permanecer en el sistema educativo. Justifica la prioridad propuesta como una inversión de largo plazo para reducir la deserción y fortalecer la formación; se describe el fundamento del texto inicial, distinto del articulado modificado de la ponencia.</w:t>
            </w:r>
          </w:p>
        </w:tc>
      </w:tr>
      <w:tr>
        <w:tc>
          <w:tcPr>
            <w:tcW w:type="dxa" w:w="1757"/>
            <w:vAlign w:val="top"/>
            <w:shd w:fill="EFF2F3"/>
          </w:tcPr>
          <w:p>
            <w:pPr>
              <w:spacing w:after="0" w:line="252" w:lineRule="auto"/>
            </w:pPr>
            <w:r/>
            <w:r>
              <w:rPr>
                <w:rFonts w:ascii="Aptos" w:hAnsi="Aptos"/>
                <w:b/>
                <w:color w:val="6B7981"/>
                <w:sz w:val="15"/>
              </w:rPr>
              <w:t>OBJETO DEL PROYECTO</w:t>
            </w:r>
          </w:p>
        </w:tc>
        <w:tc>
          <w:tcPr>
            <w:tcW w:type="dxa" w:w="7143"/>
            <w:vAlign w:val="top"/>
          </w:tcPr>
          <w:p>
            <w:pPr>
              <w:spacing w:after="0" w:line="252" w:lineRule="auto"/>
            </w:pPr>
            <w:r/>
            <w:r>
              <w:rPr>
                <w:rFonts w:ascii="Aptos" w:hAnsi="Aptos"/>
                <w:b w:val="0"/>
                <w:color w:val="1E2B33"/>
                <w:sz w:val="16"/>
              </w:rPr>
              <w:t>Añade un parágrafo al artículo 3 de la Ley 2307 de 2023: prioridad de disponibilidad presupuestal del sostenimiento estudiantil sobre transferencias monetarias juveniles. La ponencia posterior desarrolla articulación, salvaguardas y priorización progresiva.</w:t>
            </w:r>
          </w:p>
        </w:tc>
      </w:tr>
      <w:tr>
        <w:tc>
          <w:tcPr>
            <w:tcW w:type="dxa" w:w="1757"/>
            <w:vAlign w:val="top"/>
            <w:shd w:fill="EFF2F3"/>
          </w:tcPr>
          <w:p>
            <w:pPr>
              <w:spacing w:after="0" w:line="252" w:lineRule="auto"/>
            </w:pPr>
            <w:r/>
            <w:r>
              <w:rPr>
                <w:rFonts w:ascii="Aptos" w:hAnsi="Aptos"/>
                <w:b/>
                <w:color w:val="6B7981"/>
                <w:sz w:val="15"/>
              </w:rPr>
              <w:t>ANÁLISIS DOCUMENTAL</w:t>
            </w:r>
          </w:p>
        </w:tc>
        <w:tc>
          <w:tcPr>
            <w:tcW w:type="dxa" w:w="7143"/>
            <w:vAlign w:val="top"/>
          </w:tcPr>
          <w:p>
            <w:pPr>
              <w:spacing w:after="0" w:line="252" w:lineRule="auto"/>
            </w:pPr>
            <w:r/>
            <w:r>
              <w:rPr>
                <w:rFonts w:ascii="Aptos" w:hAnsi="Aptos"/>
                <w:b w:val="0"/>
                <w:color w:val="1E2B33"/>
                <w:sz w:val="16"/>
              </w:rPr>
              <w:t>La ponencia 1442/2026 supera la prioridad general que sugiere el título: encarga a Educación y DPS priorizar progresivamente apoyos de sostenimiento a estudiantes de pregrado de instituciones públicas dentro de recursos disponibles. Articula transferencias juveniles, evita duplicidades o perjuicios y preserva programas de pobreza, vulnerabilidad o especial protección con finalidad distinta al sostenimiento educativo. No crea una apropiación autónoma ni elimina todas las demás transferencias.</w:t>
            </w:r>
          </w:p>
        </w:tc>
      </w:tr>
      <w:tr>
        <w:tc>
          <w:tcPr>
            <w:tcW w:type="dxa" w:w="1757"/>
            <w:vAlign w:val="top"/>
            <w:shd w:fill="EFF2F3"/>
          </w:tcPr>
          <w:p>
            <w:pPr>
              <w:spacing w:after="0" w:line="252" w:lineRule="auto"/>
            </w:pPr>
            <w:r/>
            <w:r>
              <w:rPr>
                <w:rFonts w:ascii="Aptos" w:hAnsi="Aptos"/>
                <w:b/>
                <w:color w:val="6B7981"/>
                <w:sz w:val="15"/>
              </w:rPr>
              <w:t>PONENTES</w:t>
            </w:r>
          </w:p>
        </w:tc>
        <w:tc>
          <w:tcPr>
            <w:tcW w:type="dxa" w:w="7143"/>
            <w:vAlign w:val="top"/>
          </w:tcPr>
          <w:p>
            <w:pPr>
              <w:spacing w:after="0" w:line="252" w:lineRule="auto"/>
            </w:pPr>
            <w:r/>
            <w:r>
              <w:rPr>
                <w:rFonts w:ascii="Aptos" w:hAnsi="Aptos"/>
                <w:b w:val="0"/>
                <w:color w:val="1E2B33"/>
                <w:sz w:val="16"/>
              </w:rPr>
              <w:t>Julia Correa Nuttin · ponente única para segundo debate.</w:t>
            </w:r>
          </w:p>
        </w:tc>
      </w:tr>
      <w:tr>
        <w:tc>
          <w:tcPr>
            <w:tcW w:type="dxa" w:w="1757"/>
            <w:vAlign w:val="top"/>
            <w:shd w:fill="EFF2F3"/>
          </w:tcPr>
          <w:p>
            <w:pPr>
              <w:spacing w:after="0" w:line="252" w:lineRule="auto"/>
            </w:pPr>
            <w:r/>
            <w:r>
              <w:rPr>
                <w:rFonts w:ascii="Aptos" w:hAnsi="Aptos"/>
                <w:b/>
                <w:color w:val="6B7981"/>
                <w:sz w:val="15"/>
              </w:rPr>
              <w:t>SOPORTES IDENTIFICADOS</w:t>
            </w:r>
          </w:p>
        </w:tc>
        <w:tc>
          <w:tcPr>
            <w:tcW w:type="dxa" w:w="7143"/>
            <w:vAlign w:val="top"/>
          </w:tcPr>
          <w:p>
            <w:pPr>
              <w:spacing w:after="0" w:line="252" w:lineRule="auto"/>
            </w:pPr>
            <w:r/>
            <w:r>
              <w:rPr>
                <w:rFonts w:ascii="Aptos" w:hAnsi="Aptos"/>
                <w:b w:val="0"/>
                <w:color w:val="1E2B33"/>
                <w:sz w:val="16"/>
              </w:rPr>
              <w:t>Orden o soporte de sesión; Texto radicado; Ponencia o soporte actual; Fuente de ponentes. Consultar expediente digital para acceder a los documentos oficiales.</w:t>
            </w:r>
          </w:p>
        </w:tc>
      </w:tr>
      <w:tr>
        <w:tc>
          <w:tcPr>
            <w:tcW w:type="dxa" w:w="1757"/>
            <w:vAlign w:val="top"/>
            <w:shd w:fill="EFF2F3"/>
          </w:tcPr>
          <w:p>
            <w:pPr>
              <w:spacing w:after="0" w:line="252" w:lineRule="auto"/>
            </w:pPr>
            <w:r/>
            <w:r>
              <w:rPr>
                <w:rFonts w:ascii="Aptos" w:hAnsi="Aptos"/>
                <w:b/>
                <w:color w:val="6B7981"/>
                <w:sz w:val="15"/>
              </w:rPr>
              <w:t>NOTAS DE VERIFICACIÓN</w:t>
            </w:r>
          </w:p>
        </w:tc>
        <w:tc>
          <w:tcPr>
            <w:tcW w:type="dxa" w:w="7143"/>
            <w:vAlign w:val="top"/>
          </w:tcPr>
          <w:p>
            <w:pPr>
              <w:spacing w:after="40" w:line="252" w:lineRule="auto"/>
            </w:pPr>
            <w:r/>
            <w:r>
              <w:rPr>
                <w:rFonts w:ascii="Aptos" w:hAnsi="Aptos"/>
                <w:b w:val="0"/>
                <w:color w:val="1E2B33"/>
                <w:sz w:val="16"/>
              </w:rPr>
              <w:t>Texto radicado, Exposición de motivos, objeto y justificación, p. 3.</w:t>
            </w:r>
          </w:p>
          <w:p>
            <w:pPr>
              <w:spacing w:after="0" w:line="252" w:lineRule="auto"/>
            </w:pPr>
            <w:r>
              <w:rPr>
                <w:rFonts w:ascii="Aptos" w:hAnsi="Aptos"/>
                <w:b w:val="0"/>
                <w:color w:val="1E2B33"/>
                <w:sz w:val="16"/>
              </w:rPr>
              <w:t>Contenido de la sesión verificado el 25 de octubre de 2026. Texto radicado verificado el 25 de octubre de 2026.</w:t>
            </w:r>
          </w:p>
        </w:tc>
      </w:tr>
    </w:tbl>
    <w:p>
      <w:r>
        <w:br w:type="page"/>
      </w:r>
    </w:p>
    <w:p>
      <w:pPr>
        <w:keepNext/>
        <w:spacing w:before="100" w:after="100"/>
      </w:pPr>
      <w:r>
        <w:rPr>
          <w:b/>
          <w:color w:val="6B7981"/>
          <w:sz w:val="16"/>
        </w:rPr>
        <w:t>PLENARIA DEL SENADO · 27 DE OCTUBRE DE 2026   /   PROYECTO 15 DE 19</w:t>
      </w:r>
    </w:p>
    <w:p>
      <w:pPr>
        <w:keepNext/>
        <w:spacing w:after="100"/>
      </w:pPr>
      <w:r>
        <w:rPr>
          <w:b/>
          <w:color w:val="203845"/>
          <w:sz w:val="26"/>
        </w:rPr>
        <w:t>PL 224 de 2025 Senado</w:t>
      </w:r>
    </w:p>
    <w:p>
      <w:pPr>
        <w:keepNext/>
        <w:spacing w:after="160"/>
      </w:pPr>
      <w:r>
        <w:rPr>
          <w:b/>
          <w:color w:val="203845"/>
          <w:sz w:val="19"/>
        </w:rPr>
        <w:t>Hidrólisis alcalina y nuevas tecnologías funerarias · Ley despedida ecológica</w:t>
      </w:r>
    </w:p>
    <w:tbl>
      <w:tblPr>
        <w:tblStyle w:val="TableGrid"/>
        <w:tblW w:type="auto" w:w="0"/>
        <w:jc w:val="center"/>
        <w:tblLayout w:type="fixed"/>
        <w:tblLook w:firstColumn="1" w:firstRow="1" w:lastColumn="0" w:lastRow="0" w:noHBand="0" w:noVBand="1" w:val="04A0"/>
      </w:tblPr>
      <w:tblGrid>
        <w:gridCol w:w="1757"/>
        <w:gridCol w:w="8164"/>
      </w:tblGrid>
      <w:tr>
        <w:tc>
          <w:tcPr>
            <w:tcW w:type="dxa" w:w="1757"/>
            <w:vAlign w:val="top"/>
            <w:shd w:fill="EFF2F3"/>
          </w:tcPr>
          <w:p>
            <w:pPr>
              <w:spacing w:after="0" w:line="252" w:lineRule="auto"/>
            </w:pPr>
            <w:r/>
            <w:r>
              <w:rPr>
                <w:rFonts w:ascii="Aptos" w:hAnsi="Aptos"/>
                <w:b/>
                <w:color w:val="6B7981"/>
                <w:sz w:val="15"/>
              </w:rPr>
              <w:t>TIPO DE LEY</w:t>
            </w:r>
          </w:p>
        </w:tc>
        <w:tc>
          <w:tcPr>
            <w:tcW w:type="dxa" w:w="7143"/>
            <w:vAlign w:val="top"/>
          </w:tcPr>
          <w:p>
            <w:pPr>
              <w:spacing w:after="0" w:line="252" w:lineRule="auto"/>
            </w:pPr>
            <w:r/>
            <w:r>
              <w:rPr>
                <w:rFonts w:ascii="Aptos" w:hAnsi="Aptos"/>
                <w:b w:val="0"/>
                <w:color w:val="1E2B33"/>
                <w:sz w:val="16"/>
              </w:rPr>
              <w:t>Ordinaria</w:t>
            </w:r>
          </w:p>
        </w:tc>
      </w:tr>
      <w:tr>
        <w:tc>
          <w:tcPr>
            <w:tcW w:type="dxa" w:w="1757"/>
            <w:vAlign w:val="top"/>
            <w:shd w:fill="EFF2F3"/>
          </w:tcPr>
          <w:p>
            <w:pPr>
              <w:spacing w:after="0" w:line="252" w:lineRule="auto"/>
            </w:pPr>
            <w:r/>
            <w:r>
              <w:rPr>
                <w:rFonts w:ascii="Aptos" w:hAnsi="Aptos"/>
                <w:b/>
                <w:color w:val="6B7981"/>
                <w:sz w:val="15"/>
              </w:rPr>
              <w:t>ESTADO DOCUMENTADO</w:t>
            </w:r>
          </w:p>
        </w:tc>
        <w:tc>
          <w:tcPr>
            <w:tcW w:type="dxa" w:w="7143"/>
            <w:vAlign w:val="top"/>
          </w:tcPr>
          <w:p>
            <w:pPr>
              <w:spacing w:after="0" w:line="252" w:lineRule="auto"/>
            </w:pPr>
            <w:r/>
            <w:r>
              <w:rPr>
                <w:rFonts w:ascii="Aptos" w:hAnsi="Aptos"/>
                <w:b w:val="0"/>
                <w:color w:val="1E2B33"/>
                <w:sz w:val="16"/>
              </w:rPr>
              <w:t>Último estado documentado: Segundo debate en plenaria del Senado. No se presume un resultado posterior al soporte consultado.</w:t>
            </w:r>
          </w:p>
        </w:tc>
      </w:tr>
      <w:tr>
        <w:tc>
          <w:tcPr>
            <w:tcW w:type="dxa" w:w="1757"/>
            <w:vAlign w:val="top"/>
            <w:shd w:fill="EFF2F3"/>
          </w:tcPr>
          <w:p>
            <w:pPr>
              <w:spacing w:after="0" w:line="252" w:lineRule="auto"/>
            </w:pPr>
            <w:r/>
            <w:r>
              <w:rPr>
                <w:rFonts w:ascii="Aptos" w:hAnsi="Aptos"/>
                <w:b/>
                <w:color w:val="6B7981"/>
                <w:sz w:val="15"/>
              </w:rPr>
              <w:t>ORIGEN</w:t>
            </w:r>
          </w:p>
        </w:tc>
        <w:tc>
          <w:tcPr>
            <w:tcW w:type="dxa" w:w="7143"/>
            <w:vAlign w:val="top"/>
          </w:tcPr>
          <w:p>
            <w:pPr>
              <w:spacing w:after="0" w:line="252" w:lineRule="auto"/>
            </w:pPr>
            <w:r/>
            <w:r>
              <w:rPr>
                <w:rFonts w:ascii="Aptos" w:hAnsi="Aptos"/>
                <w:b w:val="0"/>
                <w:color w:val="1E2B33"/>
                <w:sz w:val="16"/>
              </w:rPr>
              <w:t>Senado de la República · iniciativa congresional</w:t>
            </w:r>
          </w:p>
        </w:tc>
      </w:tr>
      <w:tr>
        <w:tc>
          <w:tcPr>
            <w:tcW w:type="dxa" w:w="1757"/>
            <w:vAlign w:val="top"/>
            <w:shd w:fill="EFF2F3"/>
          </w:tcPr>
          <w:p>
            <w:pPr>
              <w:spacing w:after="0" w:line="252" w:lineRule="auto"/>
            </w:pPr>
            <w:r/>
            <w:r>
              <w:rPr>
                <w:rFonts w:ascii="Aptos" w:hAnsi="Aptos"/>
                <w:b/>
                <w:color w:val="6B7981"/>
                <w:sz w:val="15"/>
              </w:rPr>
              <w:t>COMISIÓN</w:t>
            </w:r>
          </w:p>
        </w:tc>
        <w:tc>
          <w:tcPr>
            <w:tcW w:type="dxa" w:w="7143"/>
            <w:vAlign w:val="top"/>
          </w:tcPr>
          <w:p>
            <w:pPr>
              <w:spacing w:after="0" w:line="252" w:lineRule="auto"/>
            </w:pPr>
            <w:r/>
            <w:r>
              <w:rPr>
                <w:rFonts w:ascii="Aptos" w:hAnsi="Aptos"/>
                <w:b w:val="0"/>
                <w:color w:val="1E2B33"/>
                <w:sz w:val="16"/>
              </w:rPr>
              <w:t>Comisión Septima del Senado · reparto informado en el portal; la etapa de esta ficha puede corresponder a plenaria</w:t>
            </w:r>
          </w:p>
        </w:tc>
      </w:tr>
      <w:tr>
        <w:tc>
          <w:tcPr>
            <w:tcW w:type="dxa" w:w="1757"/>
            <w:vAlign w:val="top"/>
            <w:shd w:fill="EFF2F3"/>
          </w:tcPr>
          <w:p>
            <w:pPr>
              <w:spacing w:after="0" w:line="252" w:lineRule="auto"/>
            </w:pPr>
            <w:r/>
            <w:r>
              <w:rPr>
                <w:rFonts w:ascii="Aptos" w:hAnsi="Aptos"/>
                <w:b/>
                <w:color w:val="6B7981"/>
                <w:sz w:val="15"/>
              </w:rPr>
              <w:t>ACTIVIDAD DE LA SESIÓN</w:t>
            </w:r>
          </w:p>
        </w:tc>
        <w:tc>
          <w:tcPr>
            <w:tcW w:type="dxa" w:w="7143"/>
            <w:vAlign w:val="top"/>
          </w:tcPr>
          <w:p>
            <w:pPr>
              <w:spacing w:after="0" w:line="252" w:lineRule="auto"/>
            </w:pPr>
            <w:r/>
            <w:r>
              <w:rPr>
                <w:rFonts w:ascii="Aptos" w:hAnsi="Aptos"/>
                <w:b w:val="0"/>
                <w:color w:val="1E2B33"/>
                <w:sz w:val="16"/>
              </w:rPr>
              <w:t>Plenaria del Senado del 27 de octubre de 2026, 15:00 hora de Bogotá. Citada. Discusión y votación previstas.</w:t>
            </w:r>
          </w:p>
        </w:tc>
      </w:tr>
      <w:tr>
        <w:tc>
          <w:tcPr>
            <w:tcW w:type="dxa" w:w="1757"/>
            <w:vAlign w:val="top"/>
            <w:shd w:fill="EFF2F3"/>
          </w:tcPr>
          <w:p>
            <w:pPr>
              <w:spacing w:after="0" w:line="252" w:lineRule="auto"/>
            </w:pPr>
            <w:r/>
            <w:r>
              <w:rPr>
                <w:rFonts w:ascii="Aptos" w:hAnsi="Aptos"/>
                <w:b/>
                <w:color w:val="6B7981"/>
                <w:sz w:val="15"/>
              </w:rPr>
              <w:t>EXPOSICIÓN DE MOTIVOS</w:t>
            </w:r>
          </w:p>
        </w:tc>
        <w:tc>
          <w:tcPr>
            <w:tcW w:type="dxa" w:w="7143"/>
            <w:vAlign w:val="top"/>
          </w:tcPr>
          <w:p>
            <w:pPr>
              <w:spacing w:after="0" w:line="252" w:lineRule="auto"/>
            </w:pPr>
            <w:r/>
            <w:r>
              <w:rPr>
                <w:rFonts w:ascii="Aptos" w:hAnsi="Aptos"/>
                <w:b w:val="0"/>
                <w:color w:val="1E2B33"/>
                <w:sz w:val="16"/>
              </w:rPr>
              <w:t>Los autores señalan que la hidrólisis alcalina carece de una reglamentación específica en Colombia y proponen incorporarla como alternativa funeraria con trato digno. Atribuyen a la técnica ventajas ambientales frente a otros métodos y recogen observaciones sobre vertimientos, sustancias químicas y seguridad operativa que justifican exigir controles y autorización; no se presenta esa valoración como una conclusión técnica independiente.</w:t>
            </w:r>
          </w:p>
        </w:tc>
      </w:tr>
      <w:tr>
        <w:tc>
          <w:tcPr>
            <w:tcW w:type="dxa" w:w="1757"/>
            <w:vAlign w:val="top"/>
            <w:shd w:fill="EFF2F3"/>
          </w:tcPr>
          <w:p>
            <w:pPr>
              <w:spacing w:after="0" w:line="252" w:lineRule="auto"/>
            </w:pPr>
            <w:r/>
            <w:r>
              <w:rPr>
                <w:rFonts w:ascii="Aptos" w:hAnsi="Aptos"/>
                <w:b/>
                <w:color w:val="6B7981"/>
                <w:sz w:val="15"/>
              </w:rPr>
              <w:t>OBJETO DEL PROYECTO</w:t>
            </w:r>
          </w:p>
        </w:tc>
        <w:tc>
          <w:tcPr>
            <w:tcW w:type="dxa" w:w="7143"/>
            <w:vAlign w:val="top"/>
          </w:tcPr>
          <w:p>
            <w:pPr>
              <w:spacing w:after="0" w:line="252" w:lineRule="auto"/>
            </w:pPr>
            <w:r/>
            <w:r>
              <w:rPr>
                <w:rFonts w:ascii="Aptos" w:hAnsi="Aptos"/>
                <w:b w:val="0"/>
                <w:color w:val="1E2B33"/>
                <w:sz w:val="16"/>
              </w:rPr>
              <w:t>Establece la hidrólisis alcalina y nuevas tecnologías funerarias; regula proveedores, licencia por cadáver, consentimiento, identificación, agua y vertimientos, gestión de riesgos, registro y restricciones forenses. Texto inicial leído, distinto de la ponencia posterior.</w:t>
            </w:r>
          </w:p>
        </w:tc>
      </w:tr>
      <w:tr>
        <w:tc>
          <w:tcPr>
            <w:tcW w:type="dxa" w:w="1757"/>
            <w:vAlign w:val="top"/>
            <w:shd w:fill="EFF2F3"/>
          </w:tcPr>
          <w:p>
            <w:pPr>
              <w:spacing w:after="0" w:line="252" w:lineRule="auto"/>
            </w:pPr>
            <w:r/>
            <w:r>
              <w:rPr>
                <w:rFonts w:ascii="Aptos" w:hAnsi="Aptos"/>
                <w:b/>
                <w:color w:val="6B7981"/>
                <w:sz w:val="15"/>
              </w:rPr>
              <w:t>ANÁLISIS DOCUMENTAL</w:t>
            </w:r>
          </w:p>
        </w:tc>
        <w:tc>
          <w:tcPr>
            <w:tcW w:type="dxa" w:w="7143"/>
            <w:vAlign w:val="top"/>
          </w:tcPr>
          <w:p>
            <w:pPr>
              <w:spacing w:after="0" w:line="252" w:lineRule="auto"/>
            </w:pPr>
            <w:r/>
            <w:r>
              <w:rPr>
                <w:rFonts w:ascii="Aptos" w:hAnsi="Aptos"/>
                <w:b w:val="0"/>
                <w:color w:val="1E2B33"/>
                <w:sz w:val="16"/>
              </w:rPr>
              <w:t>La ponencia de la Gaceta 592/2026 propone permitir y regular la hidrólisis alcalina y otras tecnologías funerarias. Exige identificación, autorización del fallecido o deudos, licencia individual, controles sobre agua, vertimientos y sustancias químicas, trazabilidad y respeto a creencias. Excluye cadáveres con interés forense o investigaciones que requieran preservación. No equivale a autorización incondicional de cada establecimiento. El portal legislativo registra además concepto de Medicina Legal y UBPD en Gaceta 1610/2026, ya archivada en el seguimiento.</w:t>
            </w:r>
          </w:p>
        </w:tc>
      </w:tr>
      <w:tr>
        <w:tc>
          <w:tcPr>
            <w:tcW w:type="dxa" w:w="1757"/>
            <w:vAlign w:val="top"/>
            <w:shd w:fill="EFF2F3"/>
          </w:tcPr>
          <w:p>
            <w:pPr>
              <w:spacing w:after="0" w:line="252" w:lineRule="auto"/>
            </w:pPr>
            <w:r/>
            <w:r>
              <w:rPr>
                <w:rFonts w:ascii="Aptos" w:hAnsi="Aptos"/>
                <w:b/>
                <w:color w:val="6B7981"/>
                <w:sz w:val="15"/>
              </w:rPr>
              <w:t>PONENTES</w:t>
            </w:r>
          </w:p>
        </w:tc>
        <w:tc>
          <w:tcPr>
            <w:tcW w:type="dxa" w:w="7143"/>
            <w:vAlign w:val="top"/>
          </w:tcPr>
          <w:p>
            <w:pPr>
              <w:spacing w:after="0" w:line="252" w:lineRule="auto"/>
            </w:pPr>
            <w:r/>
            <w:r>
              <w:rPr>
                <w:rFonts w:ascii="Aptos" w:hAnsi="Aptos"/>
                <w:b w:val="0"/>
                <w:color w:val="1E2B33"/>
                <w:sz w:val="16"/>
              </w:rPr>
              <w:t>Esperanza Andrade Serrano, coordinadora; Wilson Neber Arias Castillo y Honorio Miguel Henríquez Pinedo, ponentes para segundo debate.</w:t>
            </w:r>
          </w:p>
        </w:tc>
      </w:tr>
      <w:tr>
        <w:tc>
          <w:tcPr>
            <w:tcW w:type="dxa" w:w="1757"/>
            <w:vAlign w:val="top"/>
            <w:shd w:fill="EFF2F3"/>
          </w:tcPr>
          <w:p>
            <w:pPr>
              <w:spacing w:after="0" w:line="252" w:lineRule="auto"/>
            </w:pPr>
            <w:r/>
            <w:r>
              <w:rPr>
                <w:rFonts w:ascii="Aptos" w:hAnsi="Aptos"/>
                <w:b/>
                <w:color w:val="6B7981"/>
                <w:sz w:val="15"/>
              </w:rPr>
              <w:t>SOPORTES IDENTIFICADOS</w:t>
            </w:r>
          </w:p>
        </w:tc>
        <w:tc>
          <w:tcPr>
            <w:tcW w:type="dxa" w:w="7143"/>
            <w:vAlign w:val="top"/>
          </w:tcPr>
          <w:p>
            <w:pPr>
              <w:spacing w:after="0" w:line="252" w:lineRule="auto"/>
            </w:pPr>
            <w:r/>
            <w:r>
              <w:rPr>
                <w:rFonts w:ascii="Aptos" w:hAnsi="Aptos"/>
                <w:b w:val="0"/>
                <w:color w:val="1E2B33"/>
                <w:sz w:val="16"/>
              </w:rPr>
              <w:t>Orden o soporte de sesión; Texto radicado; Ponencia o soporte actual; Fuente de ponentes. Consultar expediente digital para acceder a los documentos oficiales.</w:t>
            </w:r>
          </w:p>
        </w:tc>
      </w:tr>
      <w:tr>
        <w:tc>
          <w:tcPr>
            <w:tcW w:type="dxa" w:w="1757"/>
            <w:vAlign w:val="top"/>
            <w:shd w:fill="EFF2F3"/>
          </w:tcPr>
          <w:p>
            <w:pPr>
              <w:spacing w:after="0" w:line="252" w:lineRule="auto"/>
            </w:pPr>
            <w:r/>
            <w:r>
              <w:rPr>
                <w:rFonts w:ascii="Aptos" w:hAnsi="Aptos"/>
                <w:b/>
                <w:color w:val="6B7981"/>
                <w:sz w:val="15"/>
              </w:rPr>
              <w:t>NOTAS DE VERIFICACIÓN</w:t>
            </w:r>
          </w:p>
        </w:tc>
        <w:tc>
          <w:tcPr>
            <w:tcW w:type="dxa" w:w="7143"/>
            <w:vAlign w:val="top"/>
          </w:tcPr>
          <w:p>
            <w:pPr>
              <w:spacing w:after="40" w:line="252" w:lineRule="auto"/>
            </w:pPr>
            <w:r/>
            <w:r>
              <w:rPr>
                <w:rFonts w:ascii="Aptos" w:hAnsi="Aptos"/>
                <w:b w:val="0"/>
                <w:color w:val="1E2B33"/>
                <w:sz w:val="16"/>
              </w:rPr>
              <w:t>Texto radicado, Exposición de motivos, objeto y antecedentes técnicos, pp. 18–19.</w:t>
            </w:r>
          </w:p>
          <w:p>
            <w:pPr>
              <w:spacing w:after="0" w:line="252" w:lineRule="auto"/>
            </w:pPr>
            <w:r>
              <w:rPr>
                <w:rFonts w:ascii="Aptos" w:hAnsi="Aptos"/>
                <w:b w:val="0"/>
                <w:color w:val="1E2B33"/>
                <w:sz w:val="16"/>
              </w:rPr>
              <w:t>Contenido de la sesión verificado el 25 de octubre de 2026. Texto radicado verificado el 25 de octubre de 2026.</w:t>
            </w:r>
          </w:p>
        </w:tc>
      </w:tr>
    </w:tbl>
    <w:p>
      <w:r>
        <w:br w:type="page"/>
      </w:r>
    </w:p>
    <w:p>
      <w:pPr>
        <w:keepNext/>
        <w:spacing w:before="100" w:after="100"/>
      </w:pPr>
      <w:r>
        <w:rPr>
          <w:b/>
          <w:color w:val="6B7981"/>
          <w:sz w:val="16"/>
        </w:rPr>
        <w:t>PLENARIA DEL SENADO · 27 DE OCTUBRE DE 2026   /   PROYECTO 16 DE 19</w:t>
      </w:r>
    </w:p>
    <w:p>
      <w:pPr>
        <w:keepNext/>
        <w:spacing w:after="100"/>
      </w:pPr>
      <w:r>
        <w:rPr>
          <w:b/>
          <w:color w:val="203845"/>
          <w:sz w:val="26"/>
        </w:rPr>
        <w:t>PL 103 de 2025 Senado</w:t>
      </w:r>
    </w:p>
    <w:p>
      <w:pPr>
        <w:keepNext/>
        <w:spacing w:after="160"/>
      </w:pPr>
      <w:r>
        <w:rPr>
          <w:b/>
          <w:color w:val="203845"/>
          <w:sz w:val="19"/>
        </w:rPr>
        <w:t>Bebederos de agua potable en espacio público</w:t>
      </w:r>
    </w:p>
    <w:tbl>
      <w:tblPr>
        <w:tblStyle w:val="TableGrid"/>
        <w:tblW w:type="auto" w:w="0"/>
        <w:jc w:val="center"/>
        <w:tblLayout w:type="fixed"/>
        <w:tblLook w:firstColumn="1" w:firstRow="1" w:lastColumn="0" w:lastRow="0" w:noHBand="0" w:noVBand="1" w:val="04A0"/>
      </w:tblPr>
      <w:tblGrid>
        <w:gridCol w:w="1757"/>
        <w:gridCol w:w="8164"/>
      </w:tblGrid>
      <w:tr>
        <w:tc>
          <w:tcPr>
            <w:tcW w:type="dxa" w:w="1757"/>
            <w:vAlign w:val="top"/>
            <w:shd w:fill="EFF2F3"/>
          </w:tcPr>
          <w:p>
            <w:pPr>
              <w:spacing w:after="0" w:line="252" w:lineRule="auto"/>
            </w:pPr>
            <w:r/>
            <w:r>
              <w:rPr>
                <w:rFonts w:ascii="Aptos" w:hAnsi="Aptos"/>
                <w:b/>
                <w:color w:val="6B7981"/>
                <w:sz w:val="15"/>
              </w:rPr>
              <w:t>TIPO DE LEY</w:t>
            </w:r>
          </w:p>
        </w:tc>
        <w:tc>
          <w:tcPr>
            <w:tcW w:type="dxa" w:w="7143"/>
            <w:vAlign w:val="top"/>
          </w:tcPr>
          <w:p>
            <w:pPr>
              <w:spacing w:after="0" w:line="252" w:lineRule="auto"/>
            </w:pPr>
            <w:r/>
            <w:r>
              <w:rPr>
                <w:rFonts w:ascii="Aptos" w:hAnsi="Aptos"/>
                <w:b w:val="0"/>
                <w:color w:val="1E2B33"/>
                <w:sz w:val="16"/>
              </w:rPr>
              <w:t>Ordinaria</w:t>
            </w:r>
          </w:p>
        </w:tc>
      </w:tr>
      <w:tr>
        <w:tc>
          <w:tcPr>
            <w:tcW w:type="dxa" w:w="1757"/>
            <w:vAlign w:val="top"/>
            <w:shd w:fill="EFF2F3"/>
          </w:tcPr>
          <w:p>
            <w:pPr>
              <w:spacing w:after="0" w:line="252" w:lineRule="auto"/>
            </w:pPr>
            <w:r/>
            <w:r>
              <w:rPr>
                <w:rFonts w:ascii="Aptos" w:hAnsi="Aptos"/>
                <w:b/>
                <w:color w:val="6B7981"/>
                <w:sz w:val="15"/>
              </w:rPr>
              <w:t>ESTADO DOCUMENTADO</w:t>
            </w:r>
          </w:p>
        </w:tc>
        <w:tc>
          <w:tcPr>
            <w:tcW w:type="dxa" w:w="7143"/>
            <w:vAlign w:val="top"/>
          </w:tcPr>
          <w:p>
            <w:pPr>
              <w:spacing w:after="0" w:line="252" w:lineRule="auto"/>
            </w:pPr>
            <w:r/>
            <w:r>
              <w:rPr>
                <w:rFonts w:ascii="Aptos" w:hAnsi="Aptos"/>
                <w:b w:val="0"/>
                <w:color w:val="1E2B33"/>
                <w:sz w:val="16"/>
              </w:rPr>
              <w:t>Último estado documentado: Segundo debate en plenaria del Senado. No se presume un resultado posterior al soporte consultado.</w:t>
            </w:r>
          </w:p>
        </w:tc>
      </w:tr>
      <w:tr>
        <w:tc>
          <w:tcPr>
            <w:tcW w:type="dxa" w:w="1757"/>
            <w:vAlign w:val="top"/>
            <w:shd w:fill="EFF2F3"/>
          </w:tcPr>
          <w:p>
            <w:pPr>
              <w:spacing w:after="0" w:line="252" w:lineRule="auto"/>
            </w:pPr>
            <w:r/>
            <w:r>
              <w:rPr>
                <w:rFonts w:ascii="Aptos" w:hAnsi="Aptos"/>
                <w:b/>
                <w:color w:val="6B7981"/>
                <w:sz w:val="15"/>
              </w:rPr>
              <w:t>ORIGEN</w:t>
            </w:r>
          </w:p>
        </w:tc>
        <w:tc>
          <w:tcPr>
            <w:tcW w:type="dxa" w:w="7143"/>
            <w:vAlign w:val="top"/>
          </w:tcPr>
          <w:p>
            <w:pPr>
              <w:spacing w:after="0" w:line="252" w:lineRule="auto"/>
            </w:pPr>
            <w:r/>
            <w:r>
              <w:rPr>
                <w:rFonts w:ascii="Aptos" w:hAnsi="Aptos"/>
                <w:b w:val="0"/>
                <w:color w:val="1E2B33"/>
                <w:sz w:val="16"/>
              </w:rPr>
              <w:t>Senado de la República · iniciativa congresional</w:t>
            </w:r>
          </w:p>
        </w:tc>
      </w:tr>
      <w:tr>
        <w:tc>
          <w:tcPr>
            <w:tcW w:type="dxa" w:w="1757"/>
            <w:vAlign w:val="top"/>
            <w:shd w:fill="EFF2F3"/>
          </w:tcPr>
          <w:p>
            <w:pPr>
              <w:spacing w:after="0" w:line="252" w:lineRule="auto"/>
            </w:pPr>
            <w:r/>
            <w:r>
              <w:rPr>
                <w:rFonts w:ascii="Aptos" w:hAnsi="Aptos"/>
                <w:b/>
                <w:color w:val="6B7981"/>
                <w:sz w:val="15"/>
              </w:rPr>
              <w:t>COMISIÓN</w:t>
            </w:r>
          </w:p>
        </w:tc>
        <w:tc>
          <w:tcPr>
            <w:tcW w:type="dxa" w:w="7143"/>
            <w:vAlign w:val="top"/>
          </w:tcPr>
          <w:p>
            <w:pPr>
              <w:spacing w:after="0" w:line="252" w:lineRule="auto"/>
            </w:pPr>
            <w:r/>
            <w:r>
              <w:rPr>
                <w:rFonts w:ascii="Aptos" w:hAnsi="Aptos"/>
                <w:b w:val="0"/>
                <w:color w:val="1E2B33"/>
                <w:sz w:val="16"/>
              </w:rPr>
              <w:t>Comisión Septima del Senado · reparto informado en el portal; la etapa de esta ficha puede corresponder a plenaria</w:t>
            </w:r>
          </w:p>
        </w:tc>
      </w:tr>
      <w:tr>
        <w:tc>
          <w:tcPr>
            <w:tcW w:type="dxa" w:w="1757"/>
            <w:vAlign w:val="top"/>
            <w:shd w:fill="EFF2F3"/>
          </w:tcPr>
          <w:p>
            <w:pPr>
              <w:spacing w:after="0" w:line="252" w:lineRule="auto"/>
            </w:pPr>
            <w:r/>
            <w:r>
              <w:rPr>
                <w:rFonts w:ascii="Aptos" w:hAnsi="Aptos"/>
                <w:b/>
                <w:color w:val="6B7981"/>
                <w:sz w:val="15"/>
              </w:rPr>
              <w:t>ACTIVIDAD DE LA SESIÓN</w:t>
            </w:r>
          </w:p>
        </w:tc>
        <w:tc>
          <w:tcPr>
            <w:tcW w:type="dxa" w:w="7143"/>
            <w:vAlign w:val="top"/>
          </w:tcPr>
          <w:p>
            <w:pPr>
              <w:spacing w:after="0" w:line="252" w:lineRule="auto"/>
            </w:pPr>
            <w:r/>
            <w:r>
              <w:rPr>
                <w:rFonts w:ascii="Aptos" w:hAnsi="Aptos"/>
                <w:b w:val="0"/>
                <w:color w:val="1E2B33"/>
                <w:sz w:val="16"/>
              </w:rPr>
              <w:t>Plenaria del Senado del 27 de octubre de 2026, 15:00 hora de Bogotá. Citada. Discusión y votación previstas.</w:t>
            </w:r>
          </w:p>
        </w:tc>
      </w:tr>
      <w:tr>
        <w:tc>
          <w:tcPr>
            <w:tcW w:type="dxa" w:w="1757"/>
            <w:vAlign w:val="top"/>
            <w:shd w:fill="EFF2F3"/>
          </w:tcPr>
          <w:p>
            <w:pPr>
              <w:spacing w:after="0" w:line="252" w:lineRule="auto"/>
            </w:pPr>
            <w:r/>
            <w:r>
              <w:rPr>
                <w:rFonts w:ascii="Aptos" w:hAnsi="Aptos"/>
                <w:b/>
                <w:color w:val="6B7981"/>
                <w:sz w:val="15"/>
              </w:rPr>
              <w:t>EXPOSICIÓN DE MOTIVOS</w:t>
            </w:r>
          </w:p>
        </w:tc>
        <w:tc>
          <w:tcPr>
            <w:tcW w:type="dxa" w:w="7143"/>
            <w:vAlign w:val="top"/>
          </w:tcPr>
          <w:p>
            <w:pPr>
              <w:spacing w:after="0" w:line="252" w:lineRule="auto"/>
            </w:pPr>
            <w:r/>
            <w:r>
              <w:rPr>
                <w:rFonts w:ascii="Aptos" w:hAnsi="Aptos"/>
                <w:b w:val="0"/>
                <w:color w:val="1E2B33"/>
                <w:sz w:val="16"/>
              </w:rPr>
              <w:t>La justificación relaciona el acceso insuficiente al agua potable con desigualdades y problemas de salud e higiene, y propone ampliar los puntos de acceso gratuito en espacios públicos y áreas dotacionales. Cita antecedentes de iniciativas archivadas y datos sobre acceso al agua como sustento de la necesidad de retomar la medida.</w:t>
            </w:r>
          </w:p>
        </w:tc>
      </w:tr>
      <w:tr>
        <w:tc>
          <w:tcPr>
            <w:tcW w:type="dxa" w:w="1757"/>
            <w:vAlign w:val="top"/>
            <w:shd w:fill="EFF2F3"/>
          </w:tcPr>
          <w:p>
            <w:pPr>
              <w:spacing w:after="0" w:line="252" w:lineRule="auto"/>
            </w:pPr>
            <w:r/>
            <w:r>
              <w:rPr>
                <w:rFonts w:ascii="Aptos" w:hAnsi="Aptos"/>
                <w:b/>
                <w:color w:val="6B7981"/>
                <w:sz w:val="15"/>
              </w:rPr>
              <w:t>OBJETO DEL PROYECTO</w:t>
            </w:r>
          </w:p>
        </w:tc>
        <w:tc>
          <w:tcPr>
            <w:tcW w:type="dxa" w:w="7143"/>
            <w:vAlign w:val="top"/>
          </w:tcPr>
          <w:p>
            <w:pPr>
              <w:spacing w:after="0" w:line="252" w:lineRule="auto"/>
            </w:pPr>
            <w:r/>
            <w:r>
              <w:rPr>
                <w:rFonts w:ascii="Aptos" w:hAnsi="Aptos"/>
                <w:b w:val="0"/>
                <w:color w:val="1E2B33"/>
                <w:sz w:val="16"/>
              </w:rPr>
              <w:t>Dispone bebederos de agua potable gratuitos, calidad sanitaria, accesibilidad y mantenimiento. El original prevé cuatro años y cobertura superior al 95%, obligación para municipios de categoría uno o especial y progresividad para otros; la ponencia posterior modifica esos parámetros.</w:t>
            </w:r>
          </w:p>
        </w:tc>
      </w:tr>
      <w:tr>
        <w:tc>
          <w:tcPr>
            <w:tcW w:type="dxa" w:w="1757"/>
            <w:vAlign w:val="top"/>
            <w:shd w:fill="EFF2F3"/>
          </w:tcPr>
          <w:p>
            <w:pPr>
              <w:spacing w:after="0" w:line="252" w:lineRule="auto"/>
            </w:pPr>
            <w:r/>
            <w:r>
              <w:rPr>
                <w:rFonts w:ascii="Aptos" w:hAnsi="Aptos"/>
                <w:b/>
                <w:color w:val="6B7981"/>
                <w:sz w:val="15"/>
              </w:rPr>
              <w:t>ANÁLISIS DOCUMENTAL</w:t>
            </w:r>
          </w:p>
        </w:tc>
        <w:tc>
          <w:tcPr>
            <w:tcW w:type="dxa" w:w="7143"/>
            <w:vAlign w:val="top"/>
          </w:tcPr>
          <w:p>
            <w:pPr>
              <w:spacing w:after="0" w:line="252" w:lineRule="auto"/>
            </w:pPr>
            <w:r/>
            <w:r>
              <w:rPr>
                <w:rFonts w:ascii="Aptos" w:hAnsi="Aptos"/>
                <w:b w:val="0"/>
                <w:color w:val="1E2B33"/>
                <w:sz w:val="16"/>
              </w:rPr>
              <w:t>La ponencia 1307/2026 propone instalación de bebederos gratuitos, priorizando instituciones educativas y espacios de gran afluencia; establece calidad, mantenimiento, accesibilidad y condiciones especiales en zonas costeras. Prevé tres años, disponibilidad presupuestal y cobertura de agua superior al 90%; obligación para categoría uno o especial y progresividad en las demás. Prioriza el acceso domiciliario de población vulnerable. Algunos encabezados de la ponencia dicen 103/2026; el auto de publicación, el original y el orden identifican 103/2025.</w:t>
            </w:r>
          </w:p>
        </w:tc>
      </w:tr>
      <w:tr>
        <w:tc>
          <w:tcPr>
            <w:tcW w:type="dxa" w:w="1757"/>
            <w:vAlign w:val="top"/>
            <w:shd w:fill="EFF2F3"/>
          </w:tcPr>
          <w:p>
            <w:pPr>
              <w:spacing w:after="0" w:line="252" w:lineRule="auto"/>
            </w:pPr>
            <w:r/>
            <w:r>
              <w:rPr>
                <w:rFonts w:ascii="Aptos" w:hAnsi="Aptos"/>
                <w:b/>
                <w:color w:val="6B7981"/>
                <w:sz w:val="15"/>
              </w:rPr>
              <w:t>PONENTES</w:t>
            </w:r>
          </w:p>
        </w:tc>
        <w:tc>
          <w:tcPr>
            <w:tcW w:type="dxa" w:w="7143"/>
            <w:vAlign w:val="top"/>
          </w:tcPr>
          <w:p>
            <w:pPr>
              <w:spacing w:after="0" w:line="252" w:lineRule="auto"/>
            </w:pPr>
            <w:r/>
            <w:r>
              <w:rPr>
                <w:rFonts w:ascii="Aptos" w:hAnsi="Aptos"/>
                <w:b w:val="0"/>
                <w:color w:val="1E2B33"/>
                <w:sz w:val="16"/>
              </w:rPr>
              <w:t>Duvalier Sánchez Arango · segundo debate en Senado.</w:t>
            </w:r>
          </w:p>
        </w:tc>
      </w:tr>
      <w:tr>
        <w:tc>
          <w:tcPr>
            <w:tcW w:type="dxa" w:w="1757"/>
            <w:vAlign w:val="top"/>
            <w:shd w:fill="EFF2F3"/>
          </w:tcPr>
          <w:p>
            <w:pPr>
              <w:spacing w:after="0" w:line="252" w:lineRule="auto"/>
            </w:pPr>
            <w:r/>
            <w:r>
              <w:rPr>
                <w:rFonts w:ascii="Aptos" w:hAnsi="Aptos"/>
                <w:b/>
                <w:color w:val="6B7981"/>
                <w:sz w:val="15"/>
              </w:rPr>
              <w:t>SOPORTES IDENTIFICADOS</w:t>
            </w:r>
          </w:p>
        </w:tc>
        <w:tc>
          <w:tcPr>
            <w:tcW w:type="dxa" w:w="7143"/>
            <w:vAlign w:val="top"/>
          </w:tcPr>
          <w:p>
            <w:pPr>
              <w:spacing w:after="0" w:line="252" w:lineRule="auto"/>
            </w:pPr>
            <w:r/>
            <w:r>
              <w:rPr>
                <w:rFonts w:ascii="Aptos" w:hAnsi="Aptos"/>
                <w:b w:val="0"/>
                <w:color w:val="1E2B33"/>
                <w:sz w:val="16"/>
              </w:rPr>
              <w:t>Orden o soporte de sesión; Texto radicado; Ponencia o soporte actual; Fuente de ponentes. Consultar expediente digital para acceder a los documentos oficiales.</w:t>
            </w:r>
          </w:p>
        </w:tc>
      </w:tr>
      <w:tr>
        <w:tc>
          <w:tcPr>
            <w:tcW w:type="dxa" w:w="1757"/>
            <w:vAlign w:val="top"/>
            <w:shd w:fill="EFF2F3"/>
          </w:tcPr>
          <w:p>
            <w:pPr>
              <w:spacing w:after="0" w:line="252" w:lineRule="auto"/>
            </w:pPr>
            <w:r/>
            <w:r>
              <w:rPr>
                <w:rFonts w:ascii="Aptos" w:hAnsi="Aptos"/>
                <w:b/>
                <w:color w:val="6B7981"/>
                <w:sz w:val="15"/>
              </w:rPr>
              <w:t>NOTAS DE VERIFICACIÓN</w:t>
            </w:r>
          </w:p>
        </w:tc>
        <w:tc>
          <w:tcPr>
            <w:tcW w:type="dxa" w:w="7143"/>
            <w:vAlign w:val="top"/>
          </w:tcPr>
          <w:p>
            <w:pPr>
              <w:spacing w:after="40" w:line="252" w:lineRule="auto"/>
            </w:pPr>
            <w:r/>
            <w:r>
              <w:rPr>
                <w:rFonts w:ascii="Aptos" w:hAnsi="Aptos"/>
                <w:b w:val="0"/>
                <w:color w:val="1E2B33"/>
                <w:sz w:val="16"/>
              </w:rPr>
              <w:t>Texto radicado, antecedentes y justificación, pp. 4–5.</w:t>
            </w:r>
          </w:p>
          <w:p>
            <w:pPr>
              <w:spacing w:after="0" w:line="252" w:lineRule="auto"/>
            </w:pPr>
            <w:r>
              <w:rPr>
                <w:rFonts w:ascii="Aptos" w:hAnsi="Aptos"/>
                <w:b w:val="0"/>
                <w:color w:val="1E2B33"/>
                <w:sz w:val="16"/>
              </w:rPr>
              <w:t>Contenido de la sesión verificado el 25 de octubre de 2026. Texto radicado verificado el 25 de octubre de 2026.</w:t>
            </w:r>
          </w:p>
        </w:tc>
      </w:tr>
    </w:tbl>
    <w:p>
      <w:r>
        <w:br w:type="page"/>
      </w:r>
    </w:p>
    <w:p>
      <w:pPr>
        <w:keepNext/>
        <w:spacing w:before="100" w:after="100"/>
      </w:pPr>
      <w:r>
        <w:rPr>
          <w:b/>
          <w:color w:val="6B7981"/>
          <w:sz w:val="16"/>
        </w:rPr>
        <w:t>PLENARIA DEL SENADO · 27 DE OCTUBRE DE 2026   /   PROYECTO 17 DE 19</w:t>
      </w:r>
    </w:p>
    <w:p>
      <w:pPr>
        <w:keepNext/>
        <w:spacing w:after="100"/>
      </w:pPr>
      <w:r>
        <w:rPr>
          <w:b/>
          <w:color w:val="203845"/>
          <w:sz w:val="26"/>
        </w:rPr>
        <w:t>PL 102 de 2025 Senado</w:t>
      </w:r>
    </w:p>
    <w:p>
      <w:pPr>
        <w:keepNext/>
        <w:spacing w:after="160"/>
      </w:pPr>
      <w:r>
        <w:rPr>
          <w:b/>
          <w:color w:val="203845"/>
          <w:sz w:val="19"/>
        </w:rPr>
        <w:t>Movilidad salarial</w:t>
      </w:r>
    </w:p>
    <w:tbl>
      <w:tblPr>
        <w:tblStyle w:val="TableGrid"/>
        <w:tblW w:type="auto" w:w="0"/>
        <w:jc w:val="center"/>
        <w:tblLayout w:type="fixed"/>
        <w:tblLook w:firstColumn="1" w:firstRow="1" w:lastColumn="0" w:lastRow="0" w:noHBand="0" w:noVBand="1" w:val="04A0"/>
      </w:tblPr>
      <w:tblGrid>
        <w:gridCol w:w="1757"/>
        <w:gridCol w:w="8164"/>
      </w:tblGrid>
      <w:tr>
        <w:tc>
          <w:tcPr>
            <w:tcW w:type="dxa" w:w="1757"/>
            <w:vAlign w:val="top"/>
            <w:shd w:fill="EFF2F3"/>
          </w:tcPr>
          <w:p>
            <w:pPr>
              <w:spacing w:after="0" w:line="252" w:lineRule="auto"/>
            </w:pPr>
            <w:r/>
            <w:r>
              <w:rPr>
                <w:rFonts w:ascii="Aptos" w:hAnsi="Aptos"/>
                <w:b/>
                <w:color w:val="6B7981"/>
                <w:sz w:val="15"/>
              </w:rPr>
              <w:t>TIPO DE LEY</w:t>
            </w:r>
          </w:p>
        </w:tc>
        <w:tc>
          <w:tcPr>
            <w:tcW w:type="dxa" w:w="7143"/>
            <w:vAlign w:val="top"/>
          </w:tcPr>
          <w:p>
            <w:pPr>
              <w:spacing w:after="0" w:line="252" w:lineRule="auto"/>
            </w:pPr>
            <w:r/>
            <w:r>
              <w:rPr>
                <w:rFonts w:ascii="Aptos" w:hAnsi="Aptos"/>
                <w:b w:val="0"/>
                <w:color w:val="1E2B33"/>
                <w:sz w:val="16"/>
              </w:rPr>
              <w:t>Ordinaria</w:t>
            </w:r>
          </w:p>
        </w:tc>
      </w:tr>
      <w:tr>
        <w:tc>
          <w:tcPr>
            <w:tcW w:type="dxa" w:w="1757"/>
            <w:vAlign w:val="top"/>
            <w:shd w:fill="EFF2F3"/>
          </w:tcPr>
          <w:p>
            <w:pPr>
              <w:spacing w:after="0" w:line="252" w:lineRule="auto"/>
            </w:pPr>
            <w:r/>
            <w:r>
              <w:rPr>
                <w:rFonts w:ascii="Aptos" w:hAnsi="Aptos"/>
                <w:b/>
                <w:color w:val="6B7981"/>
                <w:sz w:val="15"/>
              </w:rPr>
              <w:t>ESTADO DOCUMENTADO</w:t>
            </w:r>
          </w:p>
        </w:tc>
        <w:tc>
          <w:tcPr>
            <w:tcW w:type="dxa" w:w="7143"/>
            <w:vAlign w:val="top"/>
          </w:tcPr>
          <w:p>
            <w:pPr>
              <w:spacing w:after="0" w:line="252" w:lineRule="auto"/>
            </w:pPr>
            <w:r/>
            <w:r>
              <w:rPr>
                <w:rFonts w:ascii="Aptos" w:hAnsi="Aptos"/>
                <w:b w:val="0"/>
                <w:color w:val="1E2B33"/>
                <w:sz w:val="16"/>
              </w:rPr>
              <w:t>Último estado documentado: Segundo debate en plenaria del Senado. No se presume un resultado posterior al soporte consultado.</w:t>
            </w:r>
          </w:p>
        </w:tc>
      </w:tr>
      <w:tr>
        <w:tc>
          <w:tcPr>
            <w:tcW w:type="dxa" w:w="1757"/>
            <w:vAlign w:val="top"/>
            <w:shd w:fill="EFF2F3"/>
          </w:tcPr>
          <w:p>
            <w:pPr>
              <w:spacing w:after="0" w:line="252" w:lineRule="auto"/>
            </w:pPr>
            <w:r/>
            <w:r>
              <w:rPr>
                <w:rFonts w:ascii="Aptos" w:hAnsi="Aptos"/>
                <w:b/>
                <w:color w:val="6B7981"/>
                <w:sz w:val="15"/>
              </w:rPr>
              <w:t>ORIGEN</w:t>
            </w:r>
          </w:p>
        </w:tc>
        <w:tc>
          <w:tcPr>
            <w:tcW w:type="dxa" w:w="7143"/>
            <w:vAlign w:val="top"/>
          </w:tcPr>
          <w:p>
            <w:pPr>
              <w:spacing w:after="0" w:line="252" w:lineRule="auto"/>
            </w:pPr>
            <w:r/>
            <w:r>
              <w:rPr>
                <w:rFonts w:ascii="Aptos" w:hAnsi="Aptos"/>
                <w:b w:val="0"/>
                <w:color w:val="1E2B33"/>
                <w:sz w:val="16"/>
              </w:rPr>
              <w:t>Senado de la República · iniciativa congresional</w:t>
            </w:r>
          </w:p>
        </w:tc>
      </w:tr>
      <w:tr>
        <w:tc>
          <w:tcPr>
            <w:tcW w:type="dxa" w:w="1757"/>
            <w:vAlign w:val="top"/>
            <w:shd w:fill="EFF2F3"/>
          </w:tcPr>
          <w:p>
            <w:pPr>
              <w:spacing w:after="0" w:line="252" w:lineRule="auto"/>
            </w:pPr>
            <w:r/>
            <w:r>
              <w:rPr>
                <w:rFonts w:ascii="Aptos" w:hAnsi="Aptos"/>
                <w:b/>
                <w:color w:val="6B7981"/>
                <w:sz w:val="15"/>
              </w:rPr>
              <w:t>COMISIÓN</w:t>
            </w:r>
          </w:p>
        </w:tc>
        <w:tc>
          <w:tcPr>
            <w:tcW w:type="dxa" w:w="7143"/>
            <w:vAlign w:val="top"/>
          </w:tcPr>
          <w:p>
            <w:pPr>
              <w:spacing w:after="0" w:line="252" w:lineRule="auto"/>
            </w:pPr>
            <w:r/>
            <w:r>
              <w:rPr>
                <w:rFonts w:ascii="Aptos" w:hAnsi="Aptos"/>
                <w:b w:val="0"/>
                <w:color w:val="1E2B33"/>
                <w:sz w:val="16"/>
              </w:rPr>
              <w:t>Comisión Septima del Senado · reparto informado en el portal; la etapa de esta ficha puede corresponder a plenaria</w:t>
            </w:r>
          </w:p>
        </w:tc>
      </w:tr>
      <w:tr>
        <w:tc>
          <w:tcPr>
            <w:tcW w:type="dxa" w:w="1757"/>
            <w:vAlign w:val="top"/>
            <w:shd w:fill="EFF2F3"/>
          </w:tcPr>
          <w:p>
            <w:pPr>
              <w:spacing w:after="0" w:line="252" w:lineRule="auto"/>
            </w:pPr>
            <w:r/>
            <w:r>
              <w:rPr>
                <w:rFonts w:ascii="Aptos" w:hAnsi="Aptos"/>
                <w:b/>
                <w:color w:val="6B7981"/>
                <w:sz w:val="15"/>
              </w:rPr>
              <w:t>ACTIVIDAD DE LA SESIÓN</w:t>
            </w:r>
          </w:p>
        </w:tc>
        <w:tc>
          <w:tcPr>
            <w:tcW w:type="dxa" w:w="7143"/>
            <w:vAlign w:val="top"/>
          </w:tcPr>
          <w:p>
            <w:pPr>
              <w:spacing w:after="0" w:line="252" w:lineRule="auto"/>
            </w:pPr>
            <w:r/>
            <w:r>
              <w:rPr>
                <w:rFonts w:ascii="Aptos" w:hAnsi="Aptos"/>
                <w:b w:val="0"/>
                <w:color w:val="1E2B33"/>
                <w:sz w:val="16"/>
              </w:rPr>
              <w:t>Plenaria del Senado del 27 de octubre de 2026, 15:00 hora de Bogotá. Citada. Discusión y votación previstas.</w:t>
            </w:r>
          </w:p>
        </w:tc>
      </w:tr>
      <w:tr>
        <w:tc>
          <w:tcPr>
            <w:tcW w:type="dxa" w:w="1757"/>
            <w:vAlign w:val="top"/>
            <w:shd w:fill="EFF2F3"/>
          </w:tcPr>
          <w:p>
            <w:pPr>
              <w:spacing w:after="0" w:line="252" w:lineRule="auto"/>
            </w:pPr>
            <w:r/>
            <w:r>
              <w:rPr>
                <w:rFonts w:ascii="Aptos" w:hAnsi="Aptos"/>
                <w:b/>
                <w:color w:val="6B7981"/>
                <w:sz w:val="15"/>
              </w:rPr>
              <w:t>EXPOSICIÓN DE MOTIVOS</w:t>
            </w:r>
          </w:p>
        </w:tc>
        <w:tc>
          <w:tcPr>
            <w:tcW w:type="dxa" w:w="7143"/>
            <w:vAlign w:val="top"/>
          </w:tcPr>
          <w:p>
            <w:pPr>
              <w:spacing w:after="0" w:line="252" w:lineRule="auto"/>
            </w:pPr>
            <w:r/>
            <w:r>
              <w:rPr>
                <w:rFonts w:ascii="Aptos" w:hAnsi="Aptos"/>
                <w:b w:val="0"/>
                <w:color w:val="1E2B33"/>
                <w:sz w:val="16"/>
              </w:rPr>
              <w:t>La exposición invoca la remuneración mínima, vital y móvil para sustentar la protección del poder adquisitivo del salario frente a la inflación. El autor considera necesario desarrollar esa garantía y retomar iniciativas anteriores archivadas por tránsito de legislatura; las interpretaciones constitucionales se atribuyen a la justificación del proyecto.</w:t>
            </w:r>
          </w:p>
        </w:tc>
      </w:tr>
      <w:tr>
        <w:tc>
          <w:tcPr>
            <w:tcW w:type="dxa" w:w="1757"/>
            <w:vAlign w:val="top"/>
            <w:shd w:fill="EFF2F3"/>
          </w:tcPr>
          <w:p>
            <w:pPr>
              <w:spacing w:after="0" w:line="252" w:lineRule="auto"/>
            </w:pPr>
            <w:r/>
            <w:r>
              <w:rPr>
                <w:rFonts w:ascii="Aptos" w:hAnsi="Aptos"/>
                <w:b/>
                <w:color w:val="6B7981"/>
                <w:sz w:val="15"/>
              </w:rPr>
              <w:t>OBJETO DEL PROYECTO</w:t>
            </w:r>
          </w:p>
        </w:tc>
        <w:tc>
          <w:tcPr>
            <w:tcW w:type="dxa" w:w="7143"/>
            <w:vAlign w:val="top"/>
          </w:tcPr>
          <w:p>
            <w:pPr>
              <w:spacing w:after="0" w:line="252" w:lineRule="auto"/>
            </w:pPr>
            <w:r/>
            <w:r>
              <w:rPr>
                <w:rFonts w:ascii="Aptos" w:hAnsi="Aptos"/>
                <w:b w:val="0"/>
                <w:color w:val="1E2B33"/>
                <w:sz w:val="16"/>
              </w:rPr>
              <w:t>Establece ajuste anual de salarios superiores al mínimo no inferior al IPC y ajustes de honorarios de contratos que atraviesen año tributario o vigencia fiscal, con excepciones y respeto a negociación colectiva. La ponencia posterior añade vigilancia de MinTrabajo.</w:t>
            </w:r>
          </w:p>
        </w:tc>
      </w:tr>
      <w:tr>
        <w:tc>
          <w:tcPr>
            <w:tcW w:type="dxa" w:w="1757"/>
            <w:vAlign w:val="top"/>
            <w:shd w:fill="EFF2F3"/>
          </w:tcPr>
          <w:p>
            <w:pPr>
              <w:spacing w:after="0" w:line="252" w:lineRule="auto"/>
            </w:pPr>
            <w:r/>
            <w:r>
              <w:rPr>
                <w:rFonts w:ascii="Aptos" w:hAnsi="Aptos"/>
                <w:b/>
                <w:color w:val="6B7981"/>
                <w:sz w:val="15"/>
              </w:rPr>
              <w:t>ANÁLISIS DOCUMENTAL</w:t>
            </w:r>
          </w:p>
        </w:tc>
        <w:tc>
          <w:tcPr>
            <w:tcW w:type="dxa" w:w="7143"/>
            <w:vAlign w:val="top"/>
          </w:tcPr>
          <w:p>
            <w:pPr>
              <w:spacing w:after="0" w:line="252" w:lineRule="auto"/>
            </w:pPr>
            <w:r/>
            <w:r>
              <w:rPr>
                <w:rFonts w:ascii="Aptos" w:hAnsi="Aptos"/>
                <w:b w:val="0"/>
                <w:color w:val="1E2B33"/>
                <w:sz w:val="16"/>
              </w:rPr>
              <w:t>La ponencia 702/2026 exige ajuste anual no inferior al IPC del año anterior para salarios superiores al mínimo. Regula continuidad contractual y honorarios en servicios que atraviesen año tributario o vigencia fiscal, preserva mecanismos de salario mínimo y negociación colectiva y exceptúa remuneraciones expresadas en salarios mínimos y regímenes públicos especiales. Asigna vigilancia a MinTrabajo. No se informa que esta regla esté ya vigente.</w:t>
            </w:r>
          </w:p>
        </w:tc>
      </w:tr>
      <w:tr>
        <w:tc>
          <w:tcPr>
            <w:tcW w:type="dxa" w:w="1757"/>
            <w:vAlign w:val="top"/>
            <w:shd w:fill="EFF2F3"/>
          </w:tcPr>
          <w:p>
            <w:pPr>
              <w:spacing w:after="0" w:line="252" w:lineRule="auto"/>
            </w:pPr>
            <w:r/>
            <w:r>
              <w:rPr>
                <w:rFonts w:ascii="Aptos" w:hAnsi="Aptos"/>
                <w:b/>
                <w:color w:val="6B7981"/>
                <w:sz w:val="15"/>
              </w:rPr>
              <w:t>PONENTES</w:t>
            </w:r>
          </w:p>
        </w:tc>
        <w:tc>
          <w:tcPr>
            <w:tcW w:type="dxa" w:w="7143"/>
            <w:vAlign w:val="top"/>
          </w:tcPr>
          <w:p>
            <w:pPr>
              <w:spacing w:after="0" w:line="252" w:lineRule="auto"/>
            </w:pPr>
            <w:r/>
            <w:r>
              <w:rPr>
                <w:rFonts w:ascii="Aptos" w:hAnsi="Aptos"/>
                <w:b w:val="0"/>
                <w:color w:val="1E2B33"/>
                <w:sz w:val="16"/>
              </w:rPr>
              <w:t>Edwing Fabián Díaz Plata y Wilson Neber Arias Castillo · segundo debate en Senado.</w:t>
            </w:r>
          </w:p>
        </w:tc>
      </w:tr>
      <w:tr>
        <w:tc>
          <w:tcPr>
            <w:tcW w:type="dxa" w:w="1757"/>
            <w:vAlign w:val="top"/>
            <w:shd w:fill="EFF2F3"/>
          </w:tcPr>
          <w:p>
            <w:pPr>
              <w:spacing w:after="0" w:line="252" w:lineRule="auto"/>
            </w:pPr>
            <w:r/>
            <w:r>
              <w:rPr>
                <w:rFonts w:ascii="Aptos" w:hAnsi="Aptos"/>
                <w:b/>
                <w:color w:val="6B7981"/>
                <w:sz w:val="15"/>
              </w:rPr>
              <w:t>SOPORTES IDENTIFICADOS</w:t>
            </w:r>
          </w:p>
        </w:tc>
        <w:tc>
          <w:tcPr>
            <w:tcW w:type="dxa" w:w="7143"/>
            <w:vAlign w:val="top"/>
          </w:tcPr>
          <w:p>
            <w:pPr>
              <w:spacing w:after="0" w:line="252" w:lineRule="auto"/>
            </w:pPr>
            <w:r/>
            <w:r>
              <w:rPr>
                <w:rFonts w:ascii="Aptos" w:hAnsi="Aptos"/>
                <w:b w:val="0"/>
                <w:color w:val="1E2B33"/>
                <w:sz w:val="16"/>
              </w:rPr>
              <w:t>Orden o soporte de sesión; Texto radicado; Ponencia o soporte actual; Fuente de ponentes. Consultar expediente digital para acceder a los documentos oficiales.</w:t>
            </w:r>
          </w:p>
        </w:tc>
      </w:tr>
      <w:tr>
        <w:tc>
          <w:tcPr>
            <w:tcW w:type="dxa" w:w="1757"/>
            <w:vAlign w:val="top"/>
            <w:shd w:fill="EFF2F3"/>
          </w:tcPr>
          <w:p>
            <w:pPr>
              <w:spacing w:after="0" w:line="252" w:lineRule="auto"/>
            </w:pPr>
            <w:r/>
            <w:r>
              <w:rPr>
                <w:rFonts w:ascii="Aptos" w:hAnsi="Aptos"/>
                <w:b/>
                <w:color w:val="6B7981"/>
                <w:sz w:val="15"/>
              </w:rPr>
              <w:t>NOTAS DE VERIFICACIÓN</w:t>
            </w:r>
          </w:p>
        </w:tc>
        <w:tc>
          <w:tcPr>
            <w:tcW w:type="dxa" w:w="7143"/>
            <w:vAlign w:val="top"/>
          </w:tcPr>
          <w:p>
            <w:pPr>
              <w:spacing w:after="40" w:line="252" w:lineRule="auto"/>
            </w:pPr>
            <w:r/>
            <w:r>
              <w:rPr>
                <w:rFonts w:ascii="Aptos" w:hAnsi="Aptos"/>
                <w:b w:val="0"/>
                <w:color w:val="1E2B33"/>
                <w:sz w:val="16"/>
              </w:rPr>
              <w:t>Texto radicado, antecedentes y consideraciones de justificación, pp. 3–4.</w:t>
            </w:r>
          </w:p>
          <w:p>
            <w:pPr>
              <w:spacing w:after="0" w:line="252" w:lineRule="auto"/>
            </w:pPr>
            <w:r>
              <w:rPr>
                <w:rFonts w:ascii="Aptos" w:hAnsi="Aptos"/>
                <w:b w:val="0"/>
                <w:color w:val="1E2B33"/>
                <w:sz w:val="16"/>
              </w:rPr>
              <w:t>Contenido de la sesión verificado el 25 de octubre de 2026. Texto radicado verificado el 25 de octubre de 2026.</w:t>
            </w:r>
          </w:p>
        </w:tc>
      </w:tr>
    </w:tbl>
    <w:p>
      <w:r>
        <w:br w:type="page"/>
      </w:r>
    </w:p>
    <w:p>
      <w:pPr>
        <w:keepNext/>
        <w:spacing w:before="100" w:after="100"/>
      </w:pPr>
      <w:r>
        <w:rPr>
          <w:b/>
          <w:color w:val="6B7981"/>
          <w:sz w:val="16"/>
        </w:rPr>
        <w:t>PLENARIA DEL SENADO · 27 DE OCTUBRE DE 2026   /   PROYECTO 18 DE 19</w:t>
      </w:r>
    </w:p>
    <w:p>
      <w:pPr>
        <w:keepNext/>
        <w:spacing w:after="100"/>
      </w:pPr>
      <w:r>
        <w:rPr>
          <w:b/>
          <w:color w:val="203845"/>
          <w:sz w:val="26"/>
        </w:rPr>
        <w:t>PL 061 de 2025 Senado</w:t>
      </w:r>
    </w:p>
    <w:p>
      <w:pPr>
        <w:keepNext/>
        <w:spacing w:after="160"/>
      </w:pPr>
      <w:r>
        <w:rPr>
          <w:b/>
          <w:color w:val="203845"/>
          <w:sz w:val="19"/>
        </w:rPr>
        <w:t>Implantes mamarios · seguridad, seguimiento y atención de secuelas</w:t>
      </w:r>
    </w:p>
    <w:tbl>
      <w:tblPr>
        <w:tblStyle w:val="TableGrid"/>
        <w:tblW w:type="auto" w:w="0"/>
        <w:jc w:val="center"/>
        <w:tblLayout w:type="fixed"/>
        <w:tblLook w:firstColumn="1" w:firstRow="1" w:lastColumn="0" w:lastRow="0" w:noHBand="0" w:noVBand="1" w:val="04A0"/>
      </w:tblPr>
      <w:tblGrid>
        <w:gridCol w:w="1757"/>
        <w:gridCol w:w="8164"/>
      </w:tblGrid>
      <w:tr>
        <w:tc>
          <w:tcPr>
            <w:tcW w:type="dxa" w:w="1757"/>
            <w:vAlign w:val="top"/>
            <w:shd w:fill="EFF2F3"/>
          </w:tcPr>
          <w:p>
            <w:pPr>
              <w:spacing w:after="0" w:line="252" w:lineRule="auto"/>
            </w:pPr>
            <w:r/>
            <w:r>
              <w:rPr>
                <w:rFonts w:ascii="Aptos" w:hAnsi="Aptos"/>
                <w:b/>
                <w:color w:val="6B7981"/>
                <w:sz w:val="15"/>
              </w:rPr>
              <w:t>TIPO DE LEY</w:t>
            </w:r>
          </w:p>
        </w:tc>
        <w:tc>
          <w:tcPr>
            <w:tcW w:type="dxa" w:w="7143"/>
            <w:vAlign w:val="top"/>
          </w:tcPr>
          <w:p>
            <w:pPr>
              <w:spacing w:after="0" w:line="252" w:lineRule="auto"/>
            </w:pPr>
            <w:r/>
            <w:r>
              <w:rPr>
                <w:rFonts w:ascii="Aptos" w:hAnsi="Aptos"/>
                <w:b w:val="0"/>
                <w:color w:val="1E2B33"/>
                <w:sz w:val="16"/>
              </w:rPr>
              <w:t>Ordinaria</w:t>
            </w:r>
          </w:p>
        </w:tc>
      </w:tr>
      <w:tr>
        <w:tc>
          <w:tcPr>
            <w:tcW w:type="dxa" w:w="1757"/>
            <w:vAlign w:val="top"/>
            <w:shd w:fill="EFF2F3"/>
          </w:tcPr>
          <w:p>
            <w:pPr>
              <w:spacing w:after="0" w:line="252" w:lineRule="auto"/>
            </w:pPr>
            <w:r/>
            <w:r>
              <w:rPr>
                <w:rFonts w:ascii="Aptos" w:hAnsi="Aptos"/>
                <w:b/>
                <w:color w:val="6B7981"/>
                <w:sz w:val="15"/>
              </w:rPr>
              <w:t>ESTADO DOCUMENTADO</w:t>
            </w:r>
          </w:p>
        </w:tc>
        <w:tc>
          <w:tcPr>
            <w:tcW w:type="dxa" w:w="7143"/>
            <w:vAlign w:val="top"/>
          </w:tcPr>
          <w:p>
            <w:pPr>
              <w:spacing w:after="0" w:line="252" w:lineRule="auto"/>
            </w:pPr>
            <w:r/>
            <w:r>
              <w:rPr>
                <w:rFonts w:ascii="Aptos" w:hAnsi="Aptos"/>
                <w:b w:val="0"/>
                <w:color w:val="1E2B33"/>
                <w:sz w:val="16"/>
              </w:rPr>
              <w:t>Último estado documentado: Segundo debate en plenaria del Senado. No se presume un resultado posterior al soporte consultado.</w:t>
            </w:r>
          </w:p>
        </w:tc>
      </w:tr>
      <w:tr>
        <w:tc>
          <w:tcPr>
            <w:tcW w:type="dxa" w:w="1757"/>
            <w:vAlign w:val="top"/>
            <w:shd w:fill="EFF2F3"/>
          </w:tcPr>
          <w:p>
            <w:pPr>
              <w:spacing w:after="0" w:line="252" w:lineRule="auto"/>
            </w:pPr>
            <w:r/>
            <w:r>
              <w:rPr>
                <w:rFonts w:ascii="Aptos" w:hAnsi="Aptos"/>
                <w:b/>
                <w:color w:val="6B7981"/>
                <w:sz w:val="15"/>
              </w:rPr>
              <w:t>ORIGEN</w:t>
            </w:r>
          </w:p>
        </w:tc>
        <w:tc>
          <w:tcPr>
            <w:tcW w:type="dxa" w:w="7143"/>
            <w:vAlign w:val="top"/>
          </w:tcPr>
          <w:p>
            <w:pPr>
              <w:spacing w:after="0" w:line="252" w:lineRule="auto"/>
            </w:pPr>
            <w:r/>
            <w:r>
              <w:rPr>
                <w:rFonts w:ascii="Aptos" w:hAnsi="Aptos"/>
                <w:b w:val="0"/>
                <w:color w:val="1E2B33"/>
                <w:sz w:val="16"/>
              </w:rPr>
              <w:t>Senado de la República · iniciativa congresional</w:t>
            </w:r>
          </w:p>
        </w:tc>
      </w:tr>
      <w:tr>
        <w:tc>
          <w:tcPr>
            <w:tcW w:type="dxa" w:w="1757"/>
            <w:vAlign w:val="top"/>
            <w:shd w:fill="EFF2F3"/>
          </w:tcPr>
          <w:p>
            <w:pPr>
              <w:spacing w:after="0" w:line="252" w:lineRule="auto"/>
            </w:pPr>
            <w:r/>
            <w:r>
              <w:rPr>
                <w:rFonts w:ascii="Aptos" w:hAnsi="Aptos"/>
                <w:b/>
                <w:color w:val="6B7981"/>
                <w:sz w:val="15"/>
              </w:rPr>
              <w:t>COMISIÓN</w:t>
            </w:r>
          </w:p>
        </w:tc>
        <w:tc>
          <w:tcPr>
            <w:tcW w:type="dxa" w:w="7143"/>
            <w:vAlign w:val="top"/>
          </w:tcPr>
          <w:p>
            <w:pPr>
              <w:spacing w:after="0" w:line="252" w:lineRule="auto"/>
            </w:pPr>
            <w:r/>
            <w:r>
              <w:rPr>
                <w:rFonts w:ascii="Aptos" w:hAnsi="Aptos"/>
                <w:b w:val="0"/>
                <w:color w:val="1E2B33"/>
                <w:sz w:val="16"/>
              </w:rPr>
              <w:t>Comisión Septima del Senado · reparto informado en el portal; la etapa de esta ficha puede corresponder a plenaria</w:t>
            </w:r>
          </w:p>
        </w:tc>
      </w:tr>
      <w:tr>
        <w:tc>
          <w:tcPr>
            <w:tcW w:type="dxa" w:w="1757"/>
            <w:vAlign w:val="top"/>
            <w:shd w:fill="EFF2F3"/>
          </w:tcPr>
          <w:p>
            <w:pPr>
              <w:spacing w:after="0" w:line="252" w:lineRule="auto"/>
            </w:pPr>
            <w:r/>
            <w:r>
              <w:rPr>
                <w:rFonts w:ascii="Aptos" w:hAnsi="Aptos"/>
                <w:b/>
                <w:color w:val="6B7981"/>
                <w:sz w:val="15"/>
              </w:rPr>
              <w:t>ACTIVIDAD DE LA SESIÓN</w:t>
            </w:r>
          </w:p>
        </w:tc>
        <w:tc>
          <w:tcPr>
            <w:tcW w:type="dxa" w:w="7143"/>
            <w:vAlign w:val="top"/>
          </w:tcPr>
          <w:p>
            <w:pPr>
              <w:spacing w:after="0" w:line="252" w:lineRule="auto"/>
            </w:pPr>
            <w:r/>
            <w:r>
              <w:rPr>
                <w:rFonts w:ascii="Aptos" w:hAnsi="Aptos"/>
                <w:b w:val="0"/>
                <w:color w:val="1E2B33"/>
                <w:sz w:val="16"/>
              </w:rPr>
              <w:t>Plenaria del Senado del 27 de octubre de 2026, 15:00 hora de Bogotá. Citada. Discusión y votación previstas.</w:t>
            </w:r>
          </w:p>
        </w:tc>
      </w:tr>
      <w:tr>
        <w:tc>
          <w:tcPr>
            <w:tcW w:type="dxa" w:w="1757"/>
            <w:vAlign w:val="top"/>
            <w:shd w:fill="EFF2F3"/>
          </w:tcPr>
          <w:p>
            <w:pPr>
              <w:spacing w:after="0" w:line="252" w:lineRule="auto"/>
            </w:pPr>
            <w:r/>
            <w:r>
              <w:rPr>
                <w:rFonts w:ascii="Aptos" w:hAnsi="Aptos"/>
                <w:b/>
                <w:color w:val="6B7981"/>
                <w:sz w:val="15"/>
              </w:rPr>
              <w:t>EXPOSICIÓN DE MOTIVOS</w:t>
            </w:r>
          </w:p>
        </w:tc>
        <w:tc>
          <w:tcPr>
            <w:tcW w:type="dxa" w:w="7143"/>
            <w:vAlign w:val="top"/>
          </w:tcPr>
          <w:p>
            <w:pPr>
              <w:spacing w:after="0" w:line="252" w:lineRule="auto"/>
            </w:pPr>
            <w:r/>
            <w:r>
              <w:rPr>
                <w:rFonts w:ascii="Aptos" w:hAnsi="Aptos"/>
                <w:b w:val="0"/>
                <w:color w:val="1E2B33"/>
                <w:sz w:val="16"/>
              </w:rPr>
              <w:t>Los autores justifican medidas de información, seguridad, seguimiento y atención frente a riesgos y secuelas que el documento asocia a implantes mamarios. La exposición propone acceso no discriminatorio al diagnóstico, tratamiento, explantación y rehabilitación e incluye a personas con identidades de género diversas. No se afirma aquí una relación médica causal independiente.</w:t>
            </w:r>
          </w:p>
        </w:tc>
      </w:tr>
      <w:tr>
        <w:tc>
          <w:tcPr>
            <w:tcW w:type="dxa" w:w="1757"/>
            <w:vAlign w:val="top"/>
            <w:shd w:fill="EFF2F3"/>
          </w:tcPr>
          <w:p>
            <w:pPr>
              <w:spacing w:after="0" w:line="252" w:lineRule="auto"/>
            </w:pPr>
            <w:r/>
            <w:r>
              <w:rPr>
                <w:rFonts w:ascii="Aptos" w:hAnsi="Aptos"/>
                <w:b/>
                <w:color w:val="6B7981"/>
                <w:sz w:val="15"/>
              </w:rPr>
              <w:t>OBJETO DEL PROYECTO</w:t>
            </w:r>
          </w:p>
        </w:tc>
        <w:tc>
          <w:tcPr>
            <w:tcW w:type="dxa" w:w="7143"/>
            <w:vAlign w:val="top"/>
          </w:tcPr>
          <w:p>
            <w:pPr>
              <w:spacing w:after="0" w:line="252" w:lineRule="auto"/>
            </w:pPr>
            <w:r/>
            <w:r>
              <w:rPr>
                <w:rFonts w:ascii="Aptos" w:hAnsi="Aptos"/>
                <w:b w:val="0"/>
                <w:color w:val="1E2B33"/>
                <w:sz w:val="16"/>
              </w:rPr>
              <w:t>Regula servicios de implantación mamaria, consentimiento, póliza y seguimiento de veinte años, prótesis permitidas, atención y rehabilitación de secuelas, vigilancia y un nuevo delito por lesiones con implantes no permitidos. La ponencia posterior modifica duración y financiación, entre otros puntos.</w:t>
            </w:r>
          </w:p>
        </w:tc>
      </w:tr>
      <w:tr>
        <w:tc>
          <w:tcPr>
            <w:tcW w:type="dxa" w:w="1757"/>
            <w:vAlign w:val="top"/>
            <w:shd w:fill="EFF2F3"/>
          </w:tcPr>
          <w:p>
            <w:pPr>
              <w:spacing w:after="0" w:line="252" w:lineRule="auto"/>
            </w:pPr>
            <w:r/>
            <w:r>
              <w:rPr>
                <w:rFonts w:ascii="Aptos" w:hAnsi="Aptos"/>
                <w:b/>
                <w:color w:val="6B7981"/>
                <w:sz w:val="15"/>
              </w:rPr>
              <w:t>ANÁLISIS DOCUMENTAL</w:t>
            </w:r>
          </w:p>
        </w:tc>
        <w:tc>
          <w:tcPr>
            <w:tcW w:type="dxa" w:w="7143"/>
            <w:vAlign w:val="top"/>
          </w:tcPr>
          <w:p>
            <w:pPr>
              <w:spacing w:after="40" w:line="252" w:lineRule="auto"/>
            </w:pPr>
            <w:r/>
            <w:r>
              <w:rPr>
                <w:rFonts w:ascii="Aptos" w:hAnsi="Aptos"/>
                <w:b w:val="0"/>
                <w:color w:val="1E2B33"/>
                <w:sz w:val="16"/>
              </w:rPr>
              <w:t>La ponencia 415/2026 regula consentimiento informado, garantía y seguimiento por diez años, prótesis permitidas, atención integral de complicaciones, registro de dispositivos y responsabilidades de financiación. Prevé cobertura preferente por aseguramiento y posterior por sistema de salud, sin condicionar atención a determinación previa de responsabilidad. Propone un tipo penal por lesiones con implantes no autorizados, adulterados, reutilizados o industriales. Las asociaciones clínicas se explican como materia de la propuesta y evidencia, no como causalidad médica general demostrada.</w:t>
            </w:r>
          </w:p>
          <w:p>
            <w:pPr>
              <w:spacing w:after="0" w:line="252" w:lineRule="auto"/>
            </w:pPr>
            <w:r>
              <w:rPr>
                <w:rFonts w:ascii="Aptos" w:hAnsi="Aptos"/>
                <w:b w:val="0"/>
                <w:color w:val="1E2B33"/>
                <w:sz w:val="16"/>
              </w:rPr>
              <w:t>El original preveía veinte años; no se confunde con el texto de ponencia.</w:t>
            </w:r>
          </w:p>
        </w:tc>
      </w:tr>
      <w:tr>
        <w:tc>
          <w:tcPr>
            <w:tcW w:type="dxa" w:w="1757"/>
            <w:vAlign w:val="top"/>
            <w:shd w:fill="EFF2F3"/>
          </w:tcPr>
          <w:p>
            <w:pPr>
              <w:spacing w:after="0" w:line="252" w:lineRule="auto"/>
            </w:pPr>
            <w:r/>
            <w:r>
              <w:rPr>
                <w:rFonts w:ascii="Aptos" w:hAnsi="Aptos"/>
                <w:b/>
                <w:color w:val="6B7981"/>
                <w:sz w:val="15"/>
              </w:rPr>
              <w:t>PONENTES</w:t>
            </w:r>
          </w:p>
        </w:tc>
        <w:tc>
          <w:tcPr>
            <w:tcW w:type="dxa" w:w="7143"/>
            <w:vAlign w:val="top"/>
          </w:tcPr>
          <w:p>
            <w:pPr>
              <w:spacing w:after="0" w:line="252" w:lineRule="auto"/>
            </w:pPr>
            <w:r/>
            <w:r>
              <w:rPr>
                <w:rFonts w:ascii="Aptos" w:hAnsi="Aptos"/>
                <w:b w:val="0"/>
                <w:color w:val="1E2B33"/>
                <w:sz w:val="16"/>
              </w:rPr>
              <w:t>Norma Hurtado Sánchez · ponente para segundo debate.</w:t>
            </w:r>
          </w:p>
        </w:tc>
      </w:tr>
      <w:tr>
        <w:tc>
          <w:tcPr>
            <w:tcW w:type="dxa" w:w="1757"/>
            <w:vAlign w:val="top"/>
            <w:shd w:fill="EFF2F3"/>
          </w:tcPr>
          <w:p>
            <w:pPr>
              <w:spacing w:after="0" w:line="252" w:lineRule="auto"/>
            </w:pPr>
            <w:r/>
            <w:r>
              <w:rPr>
                <w:rFonts w:ascii="Aptos" w:hAnsi="Aptos"/>
                <w:b/>
                <w:color w:val="6B7981"/>
                <w:sz w:val="15"/>
              </w:rPr>
              <w:t>SOPORTES IDENTIFICADOS</w:t>
            </w:r>
          </w:p>
        </w:tc>
        <w:tc>
          <w:tcPr>
            <w:tcW w:type="dxa" w:w="7143"/>
            <w:vAlign w:val="top"/>
          </w:tcPr>
          <w:p>
            <w:pPr>
              <w:spacing w:after="0" w:line="252" w:lineRule="auto"/>
            </w:pPr>
            <w:r/>
            <w:r>
              <w:rPr>
                <w:rFonts w:ascii="Aptos" w:hAnsi="Aptos"/>
                <w:b w:val="0"/>
                <w:color w:val="1E2B33"/>
                <w:sz w:val="16"/>
              </w:rPr>
              <w:t>Orden o soporte de sesión; Texto radicado; Ponencia o soporte actual; Fuente de ponentes. Consultar expediente digital para acceder a los documentos oficiales.</w:t>
            </w:r>
          </w:p>
        </w:tc>
      </w:tr>
      <w:tr>
        <w:tc>
          <w:tcPr>
            <w:tcW w:type="dxa" w:w="1757"/>
            <w:vAlign w:val="top"/>
            <w:shd w:fill="EFF2F3"/>
          </w:tcPr>
          <w:p>
            <w:pPr>
              <w:spacing w:after="0" w:line="252" w:lineRule="auto"/>
            </w:pPr>
            <w:r/>
            <w:r>
              <w:rPr>
                <w:rFonts w:ascii="Aptos" w:hAnsi="Aptos"/>
                <w:b/>
                <w:color w:val="6B7981"/>
                <w:sz w:val="15"/>
              </w:rPr>
              <w:t>NOTAS DE VERIFICACIÓN</w:t>
            </w:r>
          </w:p>
        </w:tc>
        <w:tc>
          <w:tcPr>
            <w:tcW w:type="dxa" w:w="7143"/>
            <w:vAlign w:val="top"/>
          </w:tcPr>
          <w:p>
            <w:pPr>
              <w:spacing w:after="40" w:line="252" w:lineRule="auto"/>
            </w:pPr>
            <w:r/>
            <w:r>
              <w:rPr>
                <w:rFonts w:ascii="Aptos" w:hAnsi="Aptos"/>
                <w:b w:val="0"/>
                <w:color w:val="1E2B33"/>
                <w:sz w:val="16"/>
              </w:rPr>
              <w:t>Texto radicado, Exposición de motivos, objeto, ámbito e inclusión, pp. 7–8.</w:t>
            </w:r>
          </w:p>
          <w:p>
            <w:pPr>
              <w:spacing w:after="0" w:line="252" w:lineRule="auto"/>
            </w:pPr>
            <w:r>
              <w:rPr>
                <w:rFonts w:ascii="Aptos" w:hAnsi="Aptos"/>
                <w:b w:val="0"/>
                <w:color w:val="1E2B33"/>
                <w:sz w:val="16"/>
              </w:rPr>
              <w:t>Contenido de la sesión verificado el 25 de octubre de 2026. Texto radicado verificado el 25 de octubre de 2026.</w:t>
            </w:r>
          </w:p>
        </w:tc>
      </w:tr>
    </w:tbl>
    <w:p>
      <w:r>
        <w:br w:type="page"/>
      </w:r>
    </w:p>
    <w:p>
      <w:pPr>
        <w:keepNext/>
        <w:spacing w:before="100" w:after="100"/>
      </w:pPr>
      <w:r>
        <w:rPr>
          <w:b/>
          <w:color w:val="6B7981"/>
          <w:sz w:val="16"/>
        </w:rPr>
        <w:t>PLENARIA DEL SENADO · 27 DE OCTUBRE DE 2026   /   PROYECTO 19 DE 19</w:t>
      </w:r>
    </w:p>
    <w:p>
      <w:pPr>
        <w:keepNext/>
        <w:spacing w:after="100"/>
      </w:pPr>
      <w:r>
        <w:rPr>
          <w:b/>
          <w:color w:val="203845"/>
          <w:sz w:val="26"/>
        </w:rPr>
        <w:t>PAL 009 de 2026 Senado</w:t>
      </w:r>
    </w:p>
    <w:p>
      <w:pPr>
        <w:keepNext/>
        <w:spacing w:after="160"/>
      </w:pPr>
      <w:r>
        <w:rPr>
          <w:b/>
          <w:color w:val="203845"/>
          <w:sz w:val="19"/>
        </w:rPr>
        <w:t>Puerto Colombia · distrito turístico, cultural, histórico y de tecnología</w:t>
      </w:r>
    </w:p>
    <w:tbl>
      <w:tblPr>
        <w:tblStyle w:val="TableGrid"/>
        <w:tblW w:type="auto" w:w="0"/>
        <w:jc w:val="center"/>
        <w:tblLayout w:type="fixed"/>
        <w:tblLook w:firstColumn="1" w:firstRow="1" w:lastColumn="0" w:lastRow="0" w:noHBand="0" w:noVBand="1" w:val="04A0"/>
      </w:tblPr>
      <w:tblGrid>
        <w:gridCol w:w="1757"/>
        <w:gridCol w:w="8164"/>
      </w:tblGrid>
      <w:tr>
        <w:tc>
          <w:tcPr>
            <w:tcW w:type="dxa" w:w="1757"/>
            <w:vAlign w:val="top"/>
            <w:shd w:fill="EFF2F3"/>
          </w:tcPr>
          <w:p>
            <w:pPr>
              <w:spacing w:after="0" w:line="252" w:lineRule="auto"/>
            </w:pPr>
            <w:r/>
            <w:r>
              <w:rPr>
                <w:rFonts w:ascii="Aptos" w:hAnsi="Aptos"/>
                <w:b/>
                <w:color w:val="6B7981"/>
                <w:sz w:val="15"/>
              </w:rPr>
              <w:t>TIPO DE LEY</w:t>
            </w:r>
          </w:p>
        </w:tc>
        <w:tc>
          <w:tcPr>
            <w:tcW w:type="dxa" w:w="7143"/>
            <w:vAlign w:val="top"/>
          </w:tcPr>
          <w:p>
            <w:pPr>
              <w:spacing w:after="0" w:line="252" w:lineRule="auto"/>
            </w:pPr>
            <w:r/>
            <w:r>
              <w:rPr>
                <w:rFonts w:ascii="Aptos" w:hAnsi="Aptos"/>
                <w:b w:val="0"/>
                <w:color w:val="1E2B33"/>
                <w:sz w:val="16"/>
              </w:rPr>
              <w:t>Acto legislativo · reforma constitucional</w:t>
            </w:r>
          </w:p>
        </w:tc>
      </w:tr>
      <w:tr>
        <w:tc>
          <w:tcPr>
            <w:tcW w:type="dxa" w:w="1757"/>
            <w:vAlign w:val="top"/>
            <w:shd w:fill="EFF2F3"/>
          </w:tcPr>
          <w:p>
            <w:pPr>
              <w:spacing w:after="0" w:line="252" w:lineRule="auto"/>
            </w:pPr>
            <w:r/>
            <w:r>
              <w:rPr>
                <w:rFonts w:ascii="Aptos" w:hAnsi="Aptos"/>
                <w:b/>
                <w:color w:val="6B7981"/>
                <w:sz w:val="15"/>
              </w:rPr>
              <w:t>ESTADO DOCUMENTADO</w:t>
            </w:r>
          </w:p>
        </w:tc>
        <w:tc>
          <w:tcPr>
            <w:tcW w:type="dxa" w:w="7143"/>
            <w:vAlign w:val="top"/>
          </w:tcPr>
          <w:p>
            <w:pPr>
              <w:spacing w:after="0" w:line="252" w:lineRule="auto"/>
            </w:pPr>
            <w:r/>
            <w:r>
              <w:rPr>
                <w:rFonts w:ascii="Aptos" w:hAnsi="Aptos"/>
                <w:b w:val="0"/>
                <w:color w:val="1E2B33"/>
                <w:sz w:val="16"/>
              </w:rPr>
              <w:t>Último estado documentado: Segundo debate en plenaria del Senado, primera vuelta de acto legislativo. No se presume un resultado posterior al soporte consultado.</w:t>
            </w:r>
          </w:p>
        </w:tc>
      </w:tr>
      <w:tr>
        <w:tc>
          <w:tcPr>
            <w:tcW w:type="dxa" w:w="1757"/>
            <w:vAlign w:val="top"/>
            <w:shd w:fill="EFF2F3"/>
          </w:tcPr>
          <w:p>
            <w:pPr>
              <w:spacing w:after="0" w:line="252" w:lineRule="auto"/>
            </w:pPr>
            <w:r/>
            <w:r>
              <w:rPr>
                <w:rFonts w:ascii="Aptos" w:hAnsi="Aptos"/>
                <w:b/>
                <w:color w:val="6B7981"/>
                <w:sz w:val="15"/>
              </w:rPr>
              <w:t>ORIGEN</w:t>
            </w:r>
          </w:p>
        </w:tc>
        <w:tc>
          <w:tcPr>
            <w:tcW w:type="dxa" w:w="7143"/>
            <w:vAlign w:val="top"/>
          </w:tcPr>
          <w:p>
            <w:pPr>
              <w:spacing w:after="0" w:line="252" w:lineRule="auto"/>
            </w:pPr>
            <w:r/>
            <w:r>
              <w:rPr>
                <w:rFonts w:ascii="Aptos" w:hAnsi="Aptos"/>
                <w:b w:val="0"/>
                <w:color w:val="1E2B33"/>
                <w:sz w:val="16"/>
              </w:rPr>
              <w:t>Senado de la República · iniciativa congresional</w:t>
            </w:r>
          </w:p>
        </w:tc>
      </w:tr>
      <w:tr>
        <w:tc>
          <w:tcPr>
            <w:tcW w:type="dxa" w:w="1757"/>
            <w:vAlign w:val="top"/>
            <w:shd w:fill="EFF2F3"/>
          </w:tcPr>
          <w:p>
            <w:pPr>
              <w:spacing w:after="0" w:line="252" w:lineRule="auto"/>
            </w:pPr>
            <w:r/>
            <w:r>
              <w:rPr>
                <w:rFonts w:ascii="Aptos" w:hAnsi="Aptos"/>
                <w:b/>
                <w:color w:val="6B7981"/>
                <w:sz w:val="15"/>
              </w:rPr>
              <w:t>COMISIÓN</w:t>
            </w:r>
          </w:p>
        </w:tc>
        <w:tc>
          <w:tcPr>
            <w:tcW w:type="dxa" w:w="7143"/>
            <w:vAlign w:val="top"/>
          </w:tcPr>
          <w:p>
            <w:pPr>
              <w:spacing w:after="0" w:line="252" w:lineRule="auto"/>
            </w:pPr>
            <w:r/>
            <w:r>
              <w:rPr>
                <w:rFonts w:ascii="Aptos" w:hAnsi="Aptos"/>
                <w:b w:val="0"/>
                <w:color w:val="1E2B33"/>
                <w:sz w:val="16"/>
              </w:rPr>
              <w:t>Pendiente de verificar reparto o comisión de trámite.</w:t>
            </w:r>
          </w:p>
        </w:tc>
      </w:tr>
      <w:tr>
        <w:tc>
          <w:tcPr>
            <w:tcW w:type="dxa" w:w="1757"/>
            <w:vAlign w:val="top"/>
            <w:shd w:fill="EFF2F3"/>
          </w:tcPr>
          <w:p>
            <w:pPr>
              <w:spacing w:after="0" w:line="252" w:lineRule="auto"/>
            </w:pPr>
            <w:r/>
            <w:r>
              <w:rPr>
                <w:rFonts w:ascii="Aptos" w:hAnsi="Aptos"/>
                <w:b/>
                <w:color w:val="6B7981"/>
                <w:sz w:val="15"/>
              </w:rPr>
              <w:t>ACTIVIDAD DE LA SESIÓN</w:t>
            </w:r>
          </w:p>
        </w:tc>
        <w:tc>
          <w:tcPr>
            <w:tcW w:type="dxa" w:w="7143"/>
            <w:vAlign w:val="top"/>
          </w:tcPr>
          <w:p>
            <w:pPr>
              <w:spacing w:after="0" w:line="252" w:lineRule="auto"/>
            </w:pPr>
            <w:r/>
            <w:r>
              <w:rPr>
                <w:rFonts w:ascii="Aptos" w:hAnsi="Aptos"/>
                <w:b w:val="0"/>
                <w:color w:val="1E2B33"/>
                <w:sz w:val="16"/>
              </w:rPr>
              <w:t>Plenaria del Senado del 27 de octubre de 2026, 15:00 hora de Bogotá. Citada. Discusión y votación previstas.</w:t>
            </w:r>
          </w:p>
        </w:tc>
      </w:tr>
      <w:tr>
        <w:tc>
          <w:tcPr>
            <w:tcW w:type="dxa" w:w="1757"/>
            <w:vAlign w:val="top"/>
            <w:shd w:fill="EFF2F3"/>
          </w:tcPr>
          <w:p>
            <w:pPr>
              <w:spacing w:after="0" w:line="252" w:lineRule="auto"/>
            </w:pPr>
            <w:r/>
            <w:r>
              <w:rPr>
                <w:rFonts w:ascii="Aptos" w:hAnsi="Aptos"/>
                <w:b/>
                <w:color w:val="6B7981"/>
                <w:sz w:val="15"/>
              </w:rPr>
              <w:t>EXPOSICIÓN DE MOTIVOS</w:t>
            </w:r>
          </w:p>
        </w:tc>
        <w:tc>
          <w:tcPr>
            <w:tcW w:type="dxa" w:w="7143"/>
            <w:vAlign w:val="top"/>
          </w:tcPr>
          <w:p>
            <w:pPr>
              <w:spacing w:after="0" w:line="252" w:lineRule="auto"/>
            </w:pPr>
            <w:r/>
            <w:r>
              <w:rPr>
                <w:rFonts w:ascii="Aptos" w:hAnsi="Aptos"/>
                <w:b w:val="0"/>
                <w:color w:val="1E2B33"/>
                <w:sz w:val="16"/>
              </w:rPr>
              <w:t>Los autores justifican la categoría distrital para Puerto Colombia por su pasado portuario y comercial, su patrimonio histórico y cultural y su potencial turístico y tecnológico. Consideran que el nuevo régimen proporcionaría instrumentos de planificación y gestión para impulsar ese desarrollo; son beneficios esperados de la reforma, no resultados garantizados.</w:t>
            </w:r>
          </w:p>
        </w:tc>
      </w:tr>
      <w:tr>
        <w:tc>
          <w:tcPr>
            <w:tcW w:type="dxa" w:w="1757"/>
            <w:vAlign w:val="top"/>
            <w:shd w:fill="EFF2F3"/>
          </w:tcPr>
          <w:p>
            <w:pPr>
              <w:spacing w:after="0" w:line="252" w:lineRule="auto"/>
            </w:pPr>
            <w:r/>
            <w:r>
              <w:rPr>
                <w:rFonts w:ascii="Aptos" w:hAnsi="Aptos"/>
                <w:b/>
                <w:color w:val="6B7981"/>
                <w:sz w:val="15"/>
              </w:rPr>
              <w:t>OBJETO DEL PROYECTO</w:t>
            </w:r>
          </w:p>
        </w:tc>
        <w:tc>
          <w:tcPr>
            <w:tcW w:type="dxa" w:w="7143"/>
            <w:vAlign w:val="top"/>
          </w:tcPr>
          <w:p>
            <w:pPr>
              <w:spacing w:after="0" w:line="252" w:lineRule="auto"/>
            </w:pPr>
            <w:r/>
            <w:r>
              <w:rPr>
                <w:rFonts w:ascii="Aptos" w:hAnsi="Aptos"/>
                <w:b w:val="0"/>
                <w:color w:val="1E2B33"/>
                <w:sz w:val="16"/>
              </w:rPr>
              <w:t>Adiciona los artículos 328 y 356 de la Constitución para organizar a Puerto Colombia como distrito turístico, cultural, histórico y de tecnología; prevé régimen especial y articulación con autoridades nacionales. Texto radicado leído, diferente del soporte actual de ponencia.</w:t>
            </w:r>
          </w:p>
        </w:tc>
      </w:tr>
      <w:tr>
        <w:tc>
          <w:tcPr>
            <w:tcW w:type="dxa" w:w="1757"/>
            <w:vAlign w:val="top"/>
            <w:shd w:fill="EFF2F3"/>
          </w:tcPr>
          <w:p>
            <w:pPr>
              <w:spacing w:after="0" w:line="252" w:lineRule="auto"/>
            </w:pPr>
            <w:r/>
            <w:r>
              <w:rPr>
                <w:rFonts w:ascii="Aptos" w:hAnsi="Aptos"/>
                <w:b/>
                <w:color w:val="6B7981"/>
                <w:sz w:val="15"/>
              </w:rPr>
              <w:t>ANÁLISIS DOCUMENTAL</w:t>
            </w:r>
          </w:p>
        </w:tc>
        <w:tc>
          <w:tcPr>
            <w:tcW w:type="dxa" w:w="7143"/>
            <w:vAlign w:val="top"/>
          </w:tcPr>
          <w:p>
            <w:pPr>
              <w:spacing w:after="0" w:line="252" w:lineRule="auto"/>
            </w:pPr>
            <w:r/>
            <w:r>
              <w:rPr>
                <w:rFonts w:ascii="Aptos" w:hAnsi="Aptos"/>
                <w:b w:val="0"/>
                <w:color w:val="1E2B33"/>
                <w:sz w:val="16"/>
              </w:rPr>
              <w:t>La ponencia 1547/2026 adiciona los artículos 328 y 356 constitucionales para organizar a Puerto Colombia como distrito turístico, cultural, histórico y de tecnología. Remite su régimen político, fiscal y administrativo a la Constitución y leyes especiales y prevé coordinación con autoridades nacionales. La etapa es segundo debate en primera vuelta, no reforma constitucional aprobada ni culminación de las dos vueltas.</w:t>
            </w:r>
          </w:p>
        </w:tc>
      </w:tr>
      <w:tr>
        <w:tc>
          <w:tcPr>
            <w:tcW w:type="dxa" w:w="1757"/>
            <w:vAlign w:val="top"/>
            <w:shd w:fill="EFF2F3"/>
          </w:tcPr>
          <w:p>
            <w:pPr>
              <w:spacing w:after="0" w:line="252" w:lineRule="auto"/>
            </w:pPr>
            <w:r/>
            <w:r>
              <w:rPr>
                <w:rFonts w:ascii="Aptos" w:hAnsi="Aptos"/>
                <w:b/>
                <w:color w:val="6B7981"/>
                <w:sz w:val="15"/>
              </w:rPr>
              <w:t>PONENTES</w:t>
            </w:r>
          </w:p>
        </w:tc>
        <w:tc>
          <w:tcPr>
            <w:tcW w:type="dxa" w:w="7143"/>
            <w:vAlign w:val="top"/>
          </w:tcPr>
          <w:p>
            <w:pPr>
              <w:spacing w:after="0" w:line="252" w:lineRule="auto"/>
            </w:pPr>
            <w:r/>
            <w:r>
              <w:rPr>
                <w:rFonts w:ascii="Aptos" w:hAnsi="Aptos"/>
                <w:b w:val="0"/>
                <w:color w:val="1E2B33"/>
                <w:sz w:val="16"/>
              </w:rPr>
              <w:t>Iván Cepeda Castro · ponente para segundo debate en primera vuelta.</w:t>
            </w:r>
          </w:p>
        </w:tc>
      </w:tr>
      <w:tr>
        <w:tc>
          <w:tcPr>
            <w:tcW w:type="dxa" w:w="1757"/>
            <w:vAlign w:val="top"/>
            <w:shd w:fill="EFF2F3"/>
          </w:tcPr>
          <w:p>
            <w:pPr>
              <w:spacing w:after="0" w:line="252" w:lineRule="auto"/>
            </w:pPr>
            <w:r/>
            <w:r>
              <w:rPr>
                <w:rFonts w:ascii="Aptos" w:hAnsi="Aptos"/>
                <w:b/>
                <w:color w:val="6B7981"/>
                <w:sz w:val="15"/>
              </w:rPr>
              <w:t>SOPORTES IDENTIFICADOS</w:t>
            </w:r>
          </w:p>
        </w:tc>
        <w:tc>
          <w:tcPr>
            <w:tcW w:type="dxa" w:w="7143"/>
            <w:vAlign w:val="top"/>
          </w:tcPr>
          <w:p>
            <w:pPr>
              <w:spacing w:after="0" w:line="252" w:lineRule="auto"/>
            </w:pPr>
            <w:r/>
            <w:r>
              <w:rPr>
                <w:rFonts w:ascii="Aptos" w:hAnsi="Aptos"/>
                <w:b w:val="0"/>
                <w:color w:val="1E2B33"/>
                <w:sz w:val="16"/>
              </w:rPr>
              <w:t>Orden o soporte de sesión; Texto radicado; Ponencia o soporte actual; Fuente de ponentes. Consultar expediente digital para acceder a los documentos oficiales.</w:t>
            </w:r>
          </w:p>
        </w:tc>
      </w:tr>
      <w:tr>
        <w:tc>
          <w:tcPr>
            <w:tcW w:type="dxa" w:w="1757"/>
            <w:vAlign w:val="top"/>
            <w:shd w:fill="EFF2F3"/>
          </w:tcPr>
          <w:p>
            <w:pPr>
              <w:spacing w:after="0" w:line="252" w:lineRule="auto"/>
            </w:pPr>
            <w:r/>
            <w:r>
              <w:rPr>
                <w:rFonts w:ascii="Aptos" w:hAnsi="Aptos"/>
                <w:b/>
                <w:color w:val="6B7981"/>
                <w:sz w:val="15"/>
              </w:rPr>
              <w:t>NOTAS DE VERIFICACIÓN</w:t>
            </w:r>
          </w:p>
        </w:tc>
        <w:tc>
          <w:tcPr>
            <w:tcW w:type="dxa" w:w="7143"/>
            <w:vAlign w:val="top"/>
          </w:tcPr>
          <w:p>
            <w:pPr>
              <w:spacing w:after="40" w:line="252" w:lineRule="auto"/>
            </w:pPr>
            <w:r/>
            <w:r>
              <w:rPr>
                <w:rFonts w:ascii="Aptos" w:hAnsi="Aptos"/>
                <w:b w:val="0"/>
                <w:color w:val="1E2B33"/>
                <w:sz w:val="16"/>
              </w:rPr>
              <w:t>Texto radicado, Exposición de motivos, motivación y objeto, p. 8.</w:t>
            </w:r>
          </w:p>
          <w:p>
            <w:pPr>
              <w:spacing w:after="0" w:line="252" w:lineRule="auto"/>
            </w:pPr>
            <w:r>
              <w:rPr>
                <w:rFonts w:ascii="Aptos" w:hAnsi="Aptos"/>
                <w:b w:val="0"/>
                <w:color w:val="1E2B33"/>
                <w:sz w:val="16"/>
              </w:rPr>
              <w:t>Contenido de la sesión verificado el 25 de octubre de 2026. Texto radicado verificado el 25 de octubre de 2026.</w:t>
            </w:r>
          </w:p>
        </w:tc>
      </w:tr>
    </w:tbl>
    <w:sectPr w:rsidR="00FC693F" w:rsidRPr="0006063C" w:rsidSect="00034616">
      <w:headerReference w:type="default" r:id="rId9"/>
      <w:footerReference w:type="default" r:id="rId10"/>
      <w:pgSz w:w="11906" w:h="16838"/>
      <w:pgMar w:top="879" w:right="992" w:bottom="822" w:left="992" w:header="397"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981"/>
        <w:sz w:val="14"/>
      </w:rPr>
      <w:t xml:space="preserve">Corte documental 2026-10-28  ·  Ficha para impresión  ·  Pág.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80"/>
    </w:pPr>
    <w:r>
      <w:rPr>
        <w:b/>
        <w:color w:val="6B7981"/>
        <w:sz w:val="14"/>
      </w:rPr>
      <w:t>OBSERVATORIO LEGISLATIVO  |  DESPACHO DEL H.S. CARLOS EDUARDO ENRÍQUEZ CAICEDO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color w:val="1E2B33"/>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