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Fichas de proyectos para consulta parlamentaria</w:t>
      </w:r>
    </w:p>
    <w:p>
      <w:pPr>
        <w:widowControl/>
        <w:spacing w:after="160" w:line="276"/>
      </w:pPr>
      <w:r>
        <w:rPr>
          <w:color w:val="000000"/>
          <w:sz w:val="21"/>
          <w:szCs w:val="21"/>
        </w:rPr>
        <w:t xml:space="preserve">Observatorio Legislativo del despacho del H S Eduardo Enríquez Caicedo</w:t>
      </w:r>
    </w:p>
    <w:p>
      <w:pPr>
        <w:widowControl/>
        <w:spacing w:after="100" w:line="276"/>
      </w:pPr>
      <w:r>
        <w:rPr>
          <w:color w:val="000000"/>
          <w:sz w:val="20"/>
          <w:szCs w:val="20"/>
        </w:rPr>
        <w:t xml:space="preserve">Actualización del documento 28 de octubre de 2026</w:t>
      </w:r>
    </w:p>
    <w:p>
      <w:pPr>
        <w:widowControl/>
        <w:spacing w:after="100" w:line="276"/>
      </w:pPr>
      <w:r>
        <w:rPr>
          <w:color w:val="000000"/>
          <w:sz w:val="22"/>
          <w:szCs w:val="22"/>
        </w:rPr>
        <w:t xml:space="preserve">Estas fichas, agrupadas por comisión, reúnen el texto radicado, su justificación, los ponentes y el último estado documentado de los proyectos individualizados en las sesiones seleccionadas. La actividad de cada sesión se distingue de la etapa del trámite. Una citación, presentación o ponencia publicada no acredita aprobación.</w:t>
      </w:r>
    </w:p>
    <w:p>
      <w:pPr>
        <w:widowControl/>
        <w:spacing w:after="220" w:line="276"/>
      </w:pPr>
      <w:r>
        <w:rPr>
          <w:color w:val="000000"/>
          <w:sz w:val="20"/>
          <w:szCs w:val="20"/>
        </w:rPr>
        <w:t xml:space="preserve">Las fuentes y fechas acompañan los datos. Los campos pendientes se conservan para completarlos con evidencia oficial.</w:t>
      </w:r>
    </w:p>
    <w:p>
      <w:pPr>
        <w:pStyle w:val="Heading1"/>
        <w:keepNext/>
        <w:spacing w:after="160" w:before="340"/>
      </w:pPr>
      <w:r>
        <w:t xml:space="preserve">Comisiones económicas conjuntas</w:t>
      </w:r>
    </w:p>
    <w:p>
      <w:pPr>
        <w:pStyle w:val="Heading2"/>
        <w:keepNext/>
        <w:spacing w:after="120" w:before="160"/>
      </w:pPr>
      <w:r>
        <w:t xml:space="preserve">PL 401 de 2026 Cámara / 280 de 2026 Senado</w:t>
      </w:r>
    </w:p>
    <w:p>
      <w:pPr>
        <w:keepNext/>
        <w:widowControl/>
        <w:spacing w:after="160" w:line="276"/>
      </w:pPr>
      <w:r>
        <w:rPr>
          <w:b/>
          <w:bCs/>
          <w:color w:val="000000"/>
          <w:sz w:val="24"/>
          <w:szCs w:val="24"/>
        </w:rPr>
        <w:t xml:space="preserve">Modificaciones al Presupuesto General de la Nación de la vigencia fiscal de 2026</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Anuncio para posterior discusión y votación, en trámite de primer debate ante comisiones económicas conjuntas; fecha posterior no indicada.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Cámara de Representantes · iniciativa gubernamental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Terceras y Cuartas de Senado y Cámara en sesiones económicas conjuntas</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Comisiones económicas conjuntas del 28 de octubre de 2026, 09:00 hora de Bogotá. Citada. Salón Elíptico del Capitolio Nacional. Solo anuncio para otra sesión.</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El Gobierno justifica la modificación por dos necesidades: incorporar el recaudo extraordinario previsto para atender la emergencia del sismo del 10 de agosto de 2026 y financiar obligaciones de prestadores eléctricos intervenidos frente al mercado mayorista, para prevenir riesgos en la continuidad y confiabilidad del suministro. Corresponde a la justificación de la radicación inicial, anterior a las adiciones de las ponencias.</w:t>
      </w:r>
    </w:p>
    <w:p>
      <w:pPr>
        <w:pStyle w:val="Heading2"/>
        <w:keepNext/>
        <w:spacing w:after="80" w:before="200"/>
      </w:pPr>
      <w:r>
        <w:t xml:space="preserve">Objeto del texto radicado</w:t>
      </w:r>
    </w:p>
    <w:p>
      <w:pPr>
        <w:widowControl/>
        <w:spacing w:after="100" w:line="276"/>
      </w:pPr>
      <w:r>
        <w:rPr>
          <w:color w:val="000000"/>
          <w:sz w:val="22"/>
          <w:szCs w:val="22"/>
        </w:rPr>
        <w:t xml:space="preserve">Propone adicionar $2.708.426 millones al PGN 2026 para la atención de la emergencia del sismo y trasladar $1,2 billones de Hacienda y Minas a Superservicios para apoyar la continuidad y confiabilidad del suministro eléctrico. Se resume el texto radicado, no una decisión de las comisiones.</w:t>
      </w:r>
    </w:p>
    <w:p>
      <w:pPr>
        <w:pStyle w:val="Heading2"/>
        <w:keepNext/>
        <w:spacing w:after="80" w:before="200"/>
      </w:pPr>
      <w:r>
        <w:t xml:space="preserve">Análisis del soporte actual</w:t>
      </w:r>
    </w:p>
    <w:p>
      <w:pPr>
        <w:widowControl/>
        <w:spacing w:after="100" w:line="276"/>
      </w:pPr>
      <w:r>
        <w:rPr>
          <w:color w:val="000000"/>
          <w:sz w:val="22"/>
          <w:szCs w:val="22"/>
        </w:rPr>
        <w:t xml:space="preserve">Ponencia positiva para primer debate recibida 28/10/2026 a las 07:40 (rad. 931), PDF oficial de 24 páginas leído completo. Texto propuesto pp. 21–24, seis artículos. Arts. 1–2: adición de $3.857.426 millones, formada por $2.708.426 millones de ingresos corrientes para Hacienda (justificados para la emergencia/Fondo Milagro), $258.000 millones de recursos de capital–reintegros y $891.000 millones del Fondo de Solidaridad Pensional. Estos dos últimos componentes adicionan $1.149.000 millones a inversión de DPS–Colombia Mayor. Arts. 3–4: traslados por $1.466.289.786.310.</w:t>
      </w:r>
    </w:p>
    <w:p>
      <w:pPr>
        <w:widowControl/>
        <w:spacing w:after="100" w:line="276"/>
      </w:pPr>
      <w:r>
        <w:rPr>
          <w:color w:val="000000"/>
          <w:sz w:val="22"/>
          <w:szCs w:val="22"/>
        </w:rPr>
        <w:t xml:space="preserve">Contracréditos: Hacienda $750.000 millones, Minas $450.000 millones, CASUR $238.762.786.310 y DPS–programa 4199 $27.527 millones. Créditos: SSPD $1,2 billones, Ministerio de Defensa $52.341.336.399, CREMIL $186.421.449.911 y DPS–programa 4103 $27.527 millones. Las sumas cuadran, comprobadas con código; son apropiaciones propuestas, no ejecutadas ni aprobadas. Art. 5: para esta vigencia, si fallece un afiliado/pensionado sin beneficiarios de sobrevivientes, los saldos integran inicialmente su masa sucesoral.</w:t>
      </w:r>
    </w:p>
    <w:p>
      <w:pPr>
        <w:widowControl/>
        <w:spacing w:after="100" w:line="276"/>
      </w:pPr>
      <w:r>
        <w:rPr>
          <w:color w:val="000000"/>
          <w:sz w:val="22"/>
          <w:szCs w:val="22"/>
        </w:rPr>
        <w:t xml:space="preserve">Si no hay causahabientes de los cuatro primeros órdenes y pasan tres años sin acreditación, propone traslado de AFP al FSP a solicitud de Trabajo, destinado exclusivamente a Colombia Mayor. Prevé devolución a AFP indexada por IPC y provisión fiduciaria si aparecen causahabientes o beneficiarios. Art. 6: vigencia. La regla es una propuesta, no derecho vigente certificado en este seguimiento. La ponencia p. 12 contiene firma de Carlos Eduardo Enríquez Caicedo como coordinador; no se confunden nombres impresos y líneas vacías con firmas.</w:t>
      </w:r>
    </w:p>
    <w:p>
      <w:pPr>
        <w:widowControl/>
        <w:spacing w:after="100" w:line="276"/>
      </w:pPr>
      <w:r>
        <w:rPr>
          <w:color w:val="000000"/>
          <w:sz w:val="22"/>
          <w:szCs w:val="22"/>
        </w:rPr>
        <w:t xml:space="preserve">Pp. 11/19 relacionan a Yolanda Wong como coordinadora de Tercera Cámara y no a Kelyn González; falta oficio modificativo específico del PL 401 y no se infieren revocaciones. Pp. 5–6 reportan retiradas las dos proposiciones de Alvira según información de Secretaría; no se verificó acta independiente de aceptación. El pliego dice previo aval de Hacienda, sin que ese encabezado por sí solo certifique aprobación o aval.</w:t>
      </w:r>
    </w:p>
    <w:p>
      <w:pPr>
        <w:widowControl/>
        <w:spacing w:after="100" w:line="276"/>
      </w:pPr>
      <w:r>
        <w:rPr>
          <w:color w:val="000000"/>
          <w:sz w:val="22"/>
          <w:szCs w:val="22"/>
        </w:rPr>
        <w:t xml:space="preserve">Versión alternativa Pacto Histórico conservada por separado (27/10, recibida 28/10; firmantes Kamelia Zuluaga, Andrea Vargas y Martín Carabalí): $3.808.426 millones, de ellos $2.708.426 millones vía UNGRD/FNGRD y $1,1 billones para Colombia Mayor; no canalización a patrimonios autónomos externos, préstamo reembolsable y giros directos para energía. Propone reserva de responsabilidades, seguimiento mensual/veedurías, reforma eléctrica en 120 días, protección de subsidios y saldos contractuales de transporte y límite al recaudo certificado ante inexequibilidad, salvo efectos distintos de la sentencia.</w:t>
      </w:r>
    </w:p>
    <w:p>
      <w:pPr>
        <w:widowControl/>
        <w:spacing w:after="100" w:line="276"/>
      </w:pPr>
      <w:r>
        <w:rPr>
          <w:color w:val="000000"/>
          <w:sz w:val="22"/>
          <w:szCs w:val="22"/>
        </w:rPr>
        <w:t xml:space="preserve">Su pliego advierte fuentes contradictorias entre arts. 1 y 2 y código de subtotal UNGRD erróneo. No se mezclan montos, fuentes o condiciones de ambas ponencias. El orden del 28/10, 09:00 Bogotá, sigue limitado al anuncio del PL 401: no programa discusión/votación ni fecha posterior. El original ($2.708.426 millones de adición y $1,2 billones de traslado) y sus campos/fecha de lectura permanecen intactos. Publicar las ponencias no acredita aprobación ni citación adicional.</w:t>
      </w:r>
    </w:p>
    <w:p>
      <w:pPr>
        <w:pStyle w:val="Heading2"/>
        <w:keepNext/>
        <w:spacing w:after="80" w:before="200"/>
      </w:pPr>
      <w:r>
        <w:t xml:space="preserve">Ponentes</w:t>
      </w:r>
    </w:p>
    <w:p>
      <w:pPr>
        <w:widowControl/>
        <w:spacing w:after="100" w:line="276"/>
      </w:pPr>
      <w:r>
        <w:rPr>
          <w:color w:val="000000"/>
          <w:sz w:val="22"/>
          <w:szCs w:val="22"/>
        </w:rPr>
        <w:t xml:space="preserve">Primer debate.</w:t>
      </w:r>
    </w:p>
    <w:p>
      <w:pPr>
        <w:widowControl/>
        <w:spacing w:after="100" w:line="276"/>
      </w:pPr>
      <w:r>
        <w:rPr>
          <w:color w:val="000000"/>
          <w:sz w:val="22"/>
          <w:szCs w:val="22"/>
        </w:rPr>
        <w:t xml:space="preserve">Comisión Cuarta Senado: coordinadores Wilmer Ramiro Carrillo Mendoza; Carlos Eduardo Enríquez Caicedo; Kamelia Edith Zuluaga Navarro. Ponentes: Enrique Cabrales Baquero; Luis Eduardo Díaz Mateus; Wilder Iberson Escobar Ortiz; Carlos Mario Farelo Daza; Álvaro Henry Monedero Rivera; John Alejandro Bermeo Rodríguez (oficio CCU-CS-259-2026, 19/10).</w:t>
      </w:r>
    </w:p>
    <w:p>
      <w:pPr>
        <w:widowControl/>
        <w:spacing w:after="100" w:line="276"/>
      </w:pPr>
      <w:r>
        <w:rPr>
          <w:color w:val="000000"/>
          <w:sz w:val="22"/>
          <w:szCs w:val="22"/>
        </w:rPr>
        <w:t xml:space="preserve">Comisión Tercera Senado: Cristian Munir Garcés Aljure; Juan Carlos Garcés Rojas; Martín Alonso Caicedo Carabalí, designados como ponentes. La comunicación del 19/10 sustituye a Juan Fernando Caicedo Callejas por Cristian Munir; el oficio inicial es del 14/10.</w:t>
      </w:r>
    </w:p>
    <w:p>
      <w:pPr>
        <w:widowControl/>
        <w:spacing w:after="100" w:line="276"/>
      </w:pPr>
      <w:r>
        <w:rPr>
          <w:color w:val="000000"/>
          <w:sz w:val="22"/>
          <w:szCs w:val="22"/>
        </w:rPr>
        <w:t xml:space="preserve">Comisión Cuarta Cámara: coordinadores Jezmi Lizeth Barraza Arraut; Andrés Guillermo Montes Celedón; Welfran Junior Mendoza Torres. Ponentes: Hilda Gutiérrez; Andrea Camila Vargas De la Hoz; Franyela Bermúdez Serna; María Janeth Sabogal Robles (nota CCCP3.4-0402/26, 16/10), y José Alejandro Martínez Sánchez (nota CCCP3.4-0414/26, 19/10).</w:t>
      </w:r>
    </w:p>
    <w:p>
      <w:pPr>
        <w:widowControl/>
        <w:spacing w:after="100" w:line="276"/>
      </w:pPr>
      <w:r>
        <w:rPr>
          <w:color w:val="000000"/>
          <w:sz w:val="22"/>
          <w:szCs w:val="22"/>
        </w:rPr>
        <w:t xml:space="preserve">Comisión Tercera Cámara: coordinadores Kelyn Johana González Duarte; Santiago Castro Gómez; Estefanel Gutiérrez Pérez. Ponentes: Catherine Juvinao Clavijo; Jaime Arturo Santamaría Acosta; Jorge Rodrigo Tovar Vélez; Juliana Aray Franco (oficio C.T.C.P.3.3.433-26C, 16/10). Son designaciones anteriores a las sesiones archivadas, recuperadas para completar y precisar la ficha. Se leyeron los cinco soportes públicos íntegros, de ocho páginas en total, enlazados en la fuente. La actividad citada el 27/10 sigue siendo presentación, sin discusión ni votación.</w:t>
      </w:r>
    </w:p>
    <w:p>
      <w:pPr>
        <w:widowControl/>
        <w:spacing w:after="100" w:line="276"/>
      </w:pPr>
      <w:r>
        <w:rPr>
          <w:color w:val="000000"/>
          <w:sz w:val="22"/>
          <w:szCs w:val="22"/>
        </w:rPr>
        <w:t xml:space="preserve">Ponencia recibida 28/10, pp. 11/19: relaciona a Yolanda Wong como coordinadora de III Cámara y no a Kelyn; no se verificó oficio modificativo del PL 401 ni revocación de las demás designaciones.</w:t>
      </w:r>
    </w:p>
    <w:p>
      <w:pPr>
        <w:pStyle w:val="Heading2"/>
        <w:keepNext/>
        <w:spacing w:after="80" w:before="200"/>
      </w:pPr>
      <w:r>
        <w:t xml:space="preserve">Documentos oficiales</w:t>
      </w:r>
    </w:p>
    <w:p>
      <w:pPr>
        <w:widowControl/>
        <w:spacing w:after="90" w:line="252"/>
      </w:pPr>
      <w:hyperlink w:history="1" r:id="rIdngpatkygsnnbgreh6_nfh">
        <w:r>
          <w:rPr>
            <w:rStyle w:val="Hyperlink"/>
            <w:sz w:val="19"/>
            <w:szCs w:val="19"/>
          </w:rPr>
          <w:t xml:space="preserve">Orden o soporte de sesión</w:t>
        </w:r>
      </w:hyperlink>
      <w:r>
        <w:rPr>
          <w:sz w:val="19"/>
          <w:szCs w:val="19"/>
        </w:rPr>
        <w:t xml:space="preserve">   ·   </w:t>
      </w:r>
      <w:hyperlink w:history="1" r:id="rIddewykgg6j-zxkqwxbtyyq">
        <w:r>
          <w:rPr>
            <w:rStyle w:val="Hyperlink"/>
            <w:sz w:val="19"/>
            <w:szCs w:val="19"/>
          </w:rPr>
          <w:t xml:space="preserve">Texto radicado</w:t>
        </w:r>
      </w:hyperlink>
      <w:r>
        <w:rPr>
          <w:sz w:val="19"/>
          <w:szCs w:val="19"/>
        </w:rPr>
        <w:t xml:space="preserve">   ·   </w:t>
      </w:r>
      <w:hyperlink w:history="1" r:id="rIdxwbqfjjkxipptoqfzfiva">
        <w:r>
          <w:rPr>
            <w:rStyle w:val="Hyperlink"/>
            <w:sz w:val="19"/>
            <w:szCs w:val="19"/>
          </w:rPr>
          <w:t xml:space="preserve">Ponencia o soporte actual</w:t>
        </w:r>
      </w:hyperlink>
      <w:r>
        <w:rPr>
          <w:sz w:val="19"/>
          <w:szCs w:val="19"/>
        </w:rPr>
        <w:t xml:space="preserve">   ·   </w:t>
      </w:r>
      <w:hyperlink w:history="1" r:id="rIdclpueakhhcxej4d5unh2g">
        <w:r>
          <w:rPr>
            <w:rStyle w:val="Hyperlink"/>
            <w:sz w:val="19"/>
            <w:szCs w:val="19"/>
          </w:rPr>
          <w:t xml:space="preserve">Fuente de ponentes</w:t>
        </w:r>
      </w:hyperlink>
    </w:p>
    <w:p>
      <w:pPr>
        <w:widowControl/>
        <w:spacing w:after="90" w:line="252"/>
      </w:pPr>
      <w:hyperlink w:history="1" r:id="rIdtwv1d4z6p5hlslwximotr">
        <w:r>
          <w:rPr>
            <w:rStyle w:val="Hyperlink"/>
            <w:sz w:val="19"/>
            <w:szCs w:val="19"/>
          </w:rPr>
          <w:t xml:space="preserve">Tipo de ley 28/10/2026</w:t>
        </w:r>
      </w:hyperlink>
      <w:r>
        <w:rPr>
          <w:sz w:val="19"/>
          <w:szCs w:val="19"/>
        </w:rPr>
        <w:t xml:space="preserve">   ·   </w:t>
      </w:r>
      <w:hyperlink w:history="1" r:id="rIduhvwjpgnyk0qflh6odzhc">
        <w:r>
          <w:rPr>
            <w:rStyle w:val="Hyperlink"/>
            <w:sz w:val="19"/>
            <w:szCs w:val="19"/>
          </w:rPr>
          <w:t xml:space="preserve">Estado actual 28/10/2026</w:t>
        </w:r>
      </w:hyperlink>
      <w:r>
        <w:rPr>
          <w:sz w:val="19"/>
          <w:szCs w:val="19"/>
        </w:rPr>
        <w:t xml:space="preserve">   ·   </w:t>
      </w:r>
      <w:hyperlink w:history="1" r:id="rIdgfjtdd1384wjo6scxg2fc">
        <w:r>
          <w:rPr>
            <w:rStyle w:val="Hyperlink"/>
            <w:sz w:val="19"/>
            <w:szCs w:val="19"/>
          </w:rPr>
          <w:t xml:space="preserve">Origen 28/10/2026</w:t>
        </w:r>
      </w:hyperlink>
      <w:r>
        <w:rPr>
          <w:sz w:val="19"/>
          <w:szCs w:val="19"/>
        </w:rPr>
        <w:t xml:space="preserve">   ·   </w:t>
      </w:r>
      <w:hyperlink w:history="1" r:id="rIdmnwnwlzteotdqfybkhq1p">
        <w:r>
          <w:rPr>
            <w:rStyle w:val="Hyperlink"/>
            <w:sz w:val="19"/>
            <w:szCs w:val="19"/>
          </w:rPr>
          <w:t xml:space="preserve">Comisión 28/10/2026</w:t>
        </w:r>
      </w:hyperlink>
      <w:r>
        <w:rPr>
          <w:sz w:val="19"/>
          <w:szCs w:val="19"/>
        </w:rPr>
        <w:t xml:space="preserve">   ·   </w:t>
      </w:r>
      <w:hyperlink w:history="1" r:id="rId-ebbpbq2qxx8mwufb0g6u">
        <w:r>
          <w:rPr>
            <w:rStyle w:val="Hyperlink"/>
            <w:sz w:val="19"/>
            <w:szCs w:val="19"/>
          </w:rPr>
          <w:t xml:space="preserve">Breve exposición de motivos 28/10/2026</w:t>
        </w:r>
      </w:hyperlink>
    </w:p>
    <w:p>
      <w:pPr>
        <w:widowControl/>
        <w:spacing w:after="80" w:line="276"/>
      </w:pPr>
      <w:r>
        <w:rPr>
          <w:color w:val="000000"/>
          <w:sz w:val="19"/>
          <w:szCs w:val="19"/>
        </w:rPr>
        <w:t xml:space="preserve">Exposición de motivos del texto radicado, apartado Objeto y justificación de adición y traslado, pp. 1–3.</w:t>
      </w:r>
    </w:p>
    <w:p>
      <w:pPr>
        <w:widowControl/>
        <w:spacing w:after="120" w:line="276"/>
      </w:pPr>
      <w:r>
        <w:rPr>
          <w:color w:val="000000"/>
          <w:sz w:val="18"/>
          <w:szCs w:val="18"/>
        </w:rPr>
        <w:t xml:space="preserve">Contenido de la sesión verificado el 28 de octubre de 2026. Texto radicado verificado el 20 de octubre de 2026.</w:t>
      </w:r>
    </w:p>
    <w:p>
      <w:pPr>
        <w:pStyle w:val="Heading2"/>
        <w:keepNext/>
        <w:spacing w:after="120" w:before="280"/>
      </w:pPr>
      <w:r>
        <w:t xml:space="preserve">PL 422 de 2026 Cámara / 290 de 2026 Senado</w:t>
      </w:r>
    </w:p>
    <w:p>
      <w:pPr>
        <w:keepNext/>
        <w:widowControl/>
        <w:spacing w:after="160" w:line="276"/>
      </w:pPr>
      <w:r>
        <w:rPr>
          <w:b/>
          <w:bCs/>
          <w:color w:val="000000"/>
          <w:sz w:val="24"/>
          <w:szCs w:val="24"/>
        </w:rPr>
        <w:t xml:space="preserve">Presupuesto del Sistema General de Regalías para el bienio 2027–2028</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Presentación celebrada ante las comisiones económicas conjuntas, en etapa de primer debate; sin aprobación verificada.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Cámara de Representantes · iniciativa gubernamental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Terceras y Cuartas de Senado y Cámara en sesiones económicas conjuntas</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Comisiones económicas conjuntas del 27 de octubre de 2026, 10:00 hora de Bogotá. Realizada. Salón Elíptico del Capitolio Nacional. Solo presentación.</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El Gobierno presenta el presupuesto bienal para programar los ingresos y la inversión territorial del Sistema General de Regalías, conforme a los artículos 360 y 361 constitucionales y la Ley 2056 de 2020. Su exposición señala menor recaudo y restricciones fiscales como contexto de la programación 2027–2028; esas valoraciones se atribuyen al documento gubernamental.</w:t>
      </w:r>
    </w:p>
    <w:p>
      <w:pPr>
        <w:pStyle w:val="Heading2"/>
        <w:keepNext/>
        <w:spacing w:after="80" w:before="200"/>
      </w:pPr>
      <w:r>
        <w:t xml:space="preserve">Objeto del texto radicado</w:t>
      </w:r>
    </w:p>
    <w:p>
      <w:pPr>
        <w:widowControl/>
        <w:spacing w:after="100" w:line="276"/>
      </w:pPr>
      <w:r>
        <w:rPr>
          <w:color w:val="000000"/>
          <w:sz w:val="22"/>
          <w:szCs w:val="22"/>
        </w:rPr>
        <w:t xml:space="preserve">Fija el presupuesto del SGR para 2027–2028: $21.425.657.521.636 de recursos corrientes y gastos, más incorporaciones de $6.094.430.190.344 de rendimientos y $17.470.435.804 por minerales sin origen identificado (arts. 1–7). Distribuye inversión territorial, paz, ahorro y administración; regula ejecución y priorización PDET para territorios afectados por el sismo del 10/08/2026 (art. 18). Se resume el texto radicado, no un presupuesto aprobado.</w:t>
      </w:r>
    </w:p>
    <w:p>
      <w:pPr>
        <w:pStyle w:val="Heading2"/>
        <w:keepNext/>
        <w:spacing w:after="80" w:before="200"/>
      </w:pPr>
      <w:r>
        <w:t xml:space="preserve">Análisis del soporte actual</w:t>
      </w:r>
    </w:p>
    <w:p>
      <w:pPr>
        <w:widowControl/>
        <w:spacing w:after="100" w:line="276"/>
      </w:pPr>
      <w:r>
        <w:rPr>
          <w:color w:val="000000"/>
          <w:sz w:val="22"/>
          <w:szCs w:val="22"/>
        </w:rPr>
        <w:t xml:space="preserve">Prensa Cámara del 27/10 confirma que Hacienda presentó esta iniciativa; no acredita votación ni aprobación. Se mantiene la acción presentación.</w:t>
      </w:r>
    </w:p>
    <w:p>
      <w:pPr>
        <w:widowControl/>
        <w:spacing w:after="100" w:line="276"/>
      </w:pPr>
      <w:r>
        <w:rPr>
          <w:color w:val="000000"/>
          <w:sz w:val="22"/>
          <w:szCs w:val="22"/>
        </w:rPr>
        <w:t xml:space="preserve">El texto radicado fija el presupuesto bienal de regalías para el 01/01/2027–31/12/2028. Los artículos 1–2 establecen $21.425.657.521.636 de recursos corrientes e iguales gastos; el artículo 6 incorpora $6.094.430.190.344 de rendimientos y el 7, $17.470.435.804 de regalías por minerales sin origen identificado. La suma de esos componentes es $27.537.558.147.784, cálculo del texto propuesto y no monto aprobado. Distribuye administración y seguimiento, inversión territorial, paz, ciencia y tecnología, ambiente, ahorro y obligaciones pensionales, con anexos territoriales.</w:t>
      </w:r>
    </w:p>
    <w:p>
      <w:pPr>
        <w:widowControl/>
        <w:spacing w:after="100" w:line="276"/>
      </w:pPr>
      <w:r>
        <w:rPr>
          <w:color w:val="000000"/>
          <w:sz w:val="22"/>
          <w:szCs w:val="22"/>
        </w:rPr>
        <w:t xml:space="preserve">Regula incorporaciones, reintegros, traslados, correcciones y ejecución; el artículo 12 limita aprobaciones en 2027 al 60 % de las apropiaciones de ingresos corrientes en los términos propuestos. El artículo 18 contempla criterios diferenciadores de priorización PDET para atención, recuperación, rehabilitación y reconstrucción de territorios afectados por el sismo del 10/08/2026. La actividad del 27/10 es presentación ante las comisiones económicas conjuntas, en etapa de primer debate, sin discusión ni votación programadas. El apartado genérico de anuncios no permite atribuirle una fecha de votación posterior.</w:t>
      </w:r>
    </w:p>
    <w:p>
      <w:pPr>
        <w:widowControl/>
        <w:spacing w:after="100" w:line="276"/>
      </w:pPr>
      <w:r>
        <w:rPr>
          <w:color w:val="000000"/>
          <w:sz w:val="22"/>
          <w:szCs w:val="22"/>
        </w:rPr>
        <w:t xml:space="preserve">El expediente de Cámara indica radicación el 01/10/2026 y Trámite en Comisión; el número de Senado consta en el orden y los oficios de designación.</w:t>
      </w:r>
    </w:p>
    <w:p>
      <w:pPr>
        <w:widowControl/>
        <w:spacing w:after="100" w:line="276"/>
      </w:pPr>
      <w:r>
        <w:rPr>
          <w:color w:val="000000"/>
          <w:sz w:val="22"/>
          <w:szCs w:val="22"/>
        </w:rPr>
        <w:t xml:space="preserve">El 27/10/2026 el expediente publica tres proposiciones de Yamit Noé Hurtado al texto propuesto para primer debate: informes cuatrimestrales de ejecución y avance de proyectos por Hacienda, Minas y DNP, e informes trimestrales del SSEC; priorización de inversión en gestión del riesgo, recuperación de los territorios del sismo y prevención de El Niño/La Niña, articulada con el Fondo Milagro y sin doble financiación; y precisión del artículo 14 para que los traslados respeten asignación de origen, homologación y derechos de beneficiarios. Publicación de seis páginas leída íntegramente; no se verificó adopción ni decisión de las comisiones.</w:t>
      </w:r>
    </w:p>
    <w:p>
      <w:pPr>
        <w:widowControl/>
        <w:spacing w:after="100" w:line="276"/>
      </w:pPr>
      <w:r>
        <w:rPr>
          <w:color w:val="000000"/>
          <w:sz w:val="22"/>
          <w:szCs w:val="22"/>
        </w:rPr>
        <w:t xml:space="preserve">Fuente: https://www.camara.gov.co/wp-content/uploads/2026/10/Regalias-Bienio-2027-2028/Comision-Cuarta-Constitucional-Permanente/Proposiciones-SA.-HR-Yamit-Noe-Hurtado_0001.pdf
Modificaciones reales de ponencia del PL 422/2026 Cámara–290/2026 Senado, verificadas el 27/10: oficio CCU-CS 298-2026 de Cuarta Senado, fechado 27/10/2026, designa a Kamelia Edith Zuluaga Navarro en reemplazo de Laura Cristina Ahumada García, quien solicitó desistimiento.</w:t>
      </w:r>
    </w:p>
    <w:p>
      <w:pPr>
        <w:widowControl/>
        <w:spacing w:after="100" w:line="276"/>
      </w:pPr>
      <w:r>
        <w:rPr>
          <w:color w:val="000000"/>
          <w:sz w:val="22"/>
          <w:szCs w:val="22"/>
        </w:rPr>
        <w:t xml:space="preserve">Oficio C.T.C.P.3.3.462-26C de Tercera Cámara, fechado 21/10/2026 y recibido ese día en Cuarta Cámara, deja sin efecto la designación de Héctor David Chaparro Chaparro, a quien llama ponente, y designa coordinadora a Yolanda Wong Baldiris. El oficio inicial del 16/10 listaba a Chaparro como coordinador; se conserva esta discrepancia de rol, sin presentar la nueva comunicación como modificación de las demás designaciones. Son cambios documentales de primer debate; no acreditan citación a discusión/votación ni aprobación.</w:t>
      </w:r>
    </w:p>
    <w:p>
      <w:pPr>
        <w:widowControl/>
        <w:spacing w:after="100" w:line="276"/>
      </w:pPr>
      <w:r>
        <w:rPr>
          <w:color w:val="000000"/>
          <w:sz w:val="22"/>
          <w:szCs w:val="22"/>
        </w:rPr>
        <w:t xml:space="preserve">Fuentes: https://www.camara.gov.co/wp-content/uploads/2026/10/Regalias-Bienio-2027-2028/Comision-Cuarta-Constitucional-Permanente/Modificacion-Designacion-Ponente-Comision-4ta-Senado.pdf ; https://www.camara.gov.co/wp-content/uploads/2026/10/Regalias-Bienio-2027-2028/Comision-Cuarta-Constitucional-Permanente/Modificacion-Designacion-Ponente-Com-3ra-Camara.pdf</w:t>
      </w:r>
    </w:p>
    <w:p>
      <w:pPr>
        <w:pStyle w:val="Heading2"/>
        <w:keepNext/>
        <w:spacing w:after="80" w:before="200"/>
      </w:pPr>
      <w:r>
        <w:t xml:space="preserve">Ponentes</w:t>
      </w:r>
    </w:p>
    <w:p>
      <w:pPr>
        <w:widowControl/>
        <w:spacing w:after="100" w:line="276"/>
      </w:pPr>
      <w:r>
        <w:rPr>
          <w:color w:val="000000"/>
          <w:sz w:val="22"/>
          <w:szCs w:val="22"/>
        </w:rPr>
        <w:t xml:space="preserve">Primer debate. Cuarta Senado: coordinadores Diela Liliana Benavides Solarte y Álvaro Henry Monedero Rivera. Ponentes Kamelia Edith Zuluaga Navarro (oficio CCU-CS 298-2026 del 27/10, reemplaza a Laura Cristina Ahumada García por desistimiento); John Alejandro Bermeo Rodríguez; Wilmer Ramiro Carrillo Mendoza; Carlos Mario Farelo Daza; Wilder Ibersdon Escobar Ortiz (literal del oficio; el expediente dice Wilder Iberson), y Carlos Eduardo Enríquez Caicedo. Oficio CCU-CS-270-2026 del 19/10, pp. 1–2 del soporte. Farelo aparece duplicado en el documento, sin tratarlo como dos personas.</w:t>
      </w:r>
    </w:p>
    <w:p>
      <w:pPr>
        <w:widowControl/>
        <w:spacing w:after="100" w:line="276"/>
      </w:pPr>
      <w:r>
        <w:rPr>
          <w:color w:val="000000"/>
          <w:sz w:val="22"/>
          <w:szCs w:val="22"/>
        </w:rPr>
        <w:t xml:space="preserve">Tercera Senado: Gustavo Adolfo Moreno Hurtado; Deisy Johanna Osorio Márquez, y Eduardo Miguel Espitia Cabrales, según oficio del 14/10; el expediente registra Deisy Johana y Edgardo Miguel, variantes nominales pendientes de aclaración. Cuarta Cámara: coordinadores David Pinilla Calero; Guillermo Ignacio Alvira Acosta; Juan David Zuluaga Zuluaga. Ponentes Franyela Bermúdez (el expediente completa Serna); Jhon Fredi Valencia Caicedo; Rosita Rosaurina Guevara Rosero; Welfran Junior Mendoza Torres, nota CCCP3.4-0437-26 del 20/10.</w:t>
      </w:r>
    </w:p>
    <w:p>
      <w:pPr>
        <w:widowControl/>
        <w:spacing w:after="100" w:line="276"/>
      </w:pPr>
      <w:r>
        <w:rPr>
          <w:color w:val="000000"/>
          <w:sz w:val="22"/>
          <w:szCs w:val="22"/>
        </w:rPr>
        <w:t xml:space="preserve">Tercera Cámara: designación inicial (16/10): coordinadores José Ricardo Ardila Pinedo, Juan Loreto Gómez Soto, Jorge Rodrigo Tovar Vélez y Héctor David Chaparro Chaparro. Oficio C.T.C.P.3.3.462-26C del 21/10 deja sin efecto la designación de Chaparro (lo llama ponente) y designa coordinadora a Yolanda Wong Baldiris. Ponentes Milene Jarava Díaz; Francy Natalia Moreno Puin; José Luis Abdala Olivera (literal del oficio; el expediente dice Abdalla); Yamit Noé Hurtado Neira, oficio C.T.C.P.3.3.442-26C del 16/10.</w:t>
      </w:r>
    </w:p>
    <w:p>
      <w:pPr>
        <w:pStyle w:val="Heading2"/>
        <w:keepNext/>
        <w:spacing w:after="80" w:before="200"/>
      </w:pPr>
      <w:r>
        <w:t xml:space="preserve">Documentos oficiales</w:t>
      </w:r>
    </w:p>
    <w:p>
      <w:pPr>
        <w:widowControl/>
        <w:spacing w:after="90" w:line="252"/>
      </w:pPr>
      <w:hyperlink w:history="1" r:id="rIdotlwpeu5dxnbgvjbcitjy">
        <w:r>
          <w:rPr>
            <w:rStyle w:val="Hyperlink"/>
            <w:sz w:val="19"/>
            <w:szCs w:val="19"/>
          </w:rPr>
          <w:t xml:space="preserve">Orden o soporte de sesión</w:t>
        </w:r>
      </w:hyperlink>
      <w:r>
        <w:rPr>
          <w:sz w:val="19"/>
          <w:szCs w:val="19"/>
        </w:rPr>
        <w:t xml:space="preserve">   ·   </w:t>
      </w:r>
      <w:hyperlink w:history="1" r:id="rIdnzacnuv5rsff25quienlw">
        <w:r>
          <w:rPr>
            <w:rStyle w:val="Hyperlink"/>
            <w:sz w:val="19"/>
            <w:szCs w:val="19"/>
          </w:rPr>
          <w:t xml:space="preserve">Texto radicado</w:t>
        </w:r>
      </w:hyperlink>
      <w:r>
        <w:rPr>
          <w:sz w:val="19"/>
          <w:szCs w:val="19"/>
        </w:rPr>
        <w:t xml:space="preserve">   ·   </w:t>
      </w:r>
      <w:hyperlink w:history="1" r:id="rIdnpixu9erjglevg_qs17tn">
        <w:r>
          <w:rPr>
            <w:rStyle w:val="Hyperlink"/>
            <w:sz w:val="19"/>
            <w:szCs w:val="19"/>
          </w:rPr>
          <w:t xml:space="preserve">Ponencia o soporte actual</w:t>
        </w:r>
      </w:hyperlink>
      <w:r>
        <w:rPr>
          <w:sz w:val="19"/>
          <w:szCs w:val="19"/>
        </w:rPr>
        <w:t xml:space="preserve">   ·   </w:t>
      </w:r>
      <w:hyperlink w:history="1" r:id="rIdxer81e4gtmgibw2cv-roo">
        <w:r>
          <w:rPr>
            <w:rStyle w:val="Hyperlink"/>
            <w:sz w:val="19"/>
            <w:szCs w:val="19"/>
          </w:rPr>
          <w:t xml:space="preserve">Fuente de ponentes</w:t>
        </w:r>
      </w:hyperlink>
    </w:p>
    <w:p>
      <w:pPr>
        <w:widowControl/>
        <w:spacing w:after="90" w:line="252"/>
      </w:pPr>
      <w:hyperlink w:history="1" r:id="rIdkakvtknd3jrw7srys1tri">
        <w:r>
          <w:rPr>
            <w:rStyle w:val="Hyperlink"/>
            <w:sz w:val="19"/>
            <w:szCs w:val="19"/>
          </w:rPr>
          <w:t xml:space="preserve">Tipo de ley 28/10/2026</w:t>
        </w:r>
      </w:hyperlink>
      <w:r>
        <w:rPr>
          <w:sz w:val="19"/>
          <w:szCs w:val="19"/>
        </w:rPr>
        <w:t xml:space="preserve">   ·   </w:t>
      </w:r>
      <w:hyperlink w:history="1" r:id="rIdj14tcbf2mgb3jrikurbk8">
        <w:r>
          <w:rPr>
            <w:rStyle w:val="Hyperlink"/>
            <w:sz w:val="19"/>
            <w:szCs w:val="19"/>
          </w:rPr>
          <w:t xml:space="preserve">Estado actual 28/10/2026</w:t>
        </w:r>
      </w:hyperlink>
      <w:r>
        <w:rPr>
          <w:sz w:val="19"/>
          <w:szCs w:val="19"/>
        </w:rPr>
        <w:t xml:space="preserve">   ·   </w:t>
      </w:r>
      <w:hyperlink w:history="1" r:id="rId-o5rgspwcssefznz-mtol">
        <w:r>
          <w:rPr>
            <w:rStyle w:val="Hyperlink"/>
            <w:sz w:val="19"/>
            <w:szCs w:val="19"/>
          </w:rPr>
          <w:t xml:space="preserve">Origen 28/10/2026</w:t>
        </w:r>
      </w:hyperlink>
      <w:r>
        <w:rPr>
          <w:sz w:val="19"/>
          <w:szCs w:val="19"/>
        </w:rPr>
        <w:t xml:space="preserve">   ·   </w:t>
      </w:r>
      <w:hyperlink w:history="1" r:id="rIdjsprcoewqmytuqu6vl3ks">
        <w:r>
          <w:rPr>
            <w:rStyle w:val="Hyperlink"/>
            <w:sz w:val="19"/>
            <w:szCs w:val="19"/>
          </w:rPr>
          <w:t xml:space="preserve">Comisión 28/10/2026</w:t>
        </w:r>
      </w:hyperlink>
      <w:r>
        <w:rPr>
          <w:sz w:val="19"/>
          <w:szCs w:val="19"/>
        </w:rPr>
        <w:t xml:space="preserve">   ·   </w:t>
      </w:r>
      <w:hyperlink w:history="1" r:id="rIdcm8dxmg0nipqee95xzz9x">
        <w:r>
          <w:rPr>
            <w:rStyle w:val="Hyperlink"/>
            <w:sz w:val="19"/>
            <w:szCs w:val="19"/>
          </w:rPr>
          <w:t xml:space="preserve">Breve exposición de motivos 28/10/2026</w:t>
        </w:r>
      </w:hyperlink>
    </w:p>
    <w:p>
      <w:pPr>
        <w:widowControl/>
        <w:spacing w:after="80" w:line="276"/>
      </w:pPr>
      <w:r>
        <w:rPr>
          <w:color w:val="000000"/>
          <w:sz w:val="19"/>
          <w:szCs w:val="19"/>
        </w:rPr>
        <w:t xml:space="preserve">Exposición de motivos del texto radicado, introducción, pp. 2–3.</w:t>
      </w:r>
    </w:p>
    <w:p>
      <w:pPr>
        <w:widowControl/>
        <w:spacing w:after="120" w:line="276"/>
      </w:pPr>
      <w:r>
        <w:rPr>
          <w:color w:val="000000"/>
          <w:sz w:val="18"/>
          <w:szCs w:val="18"/>
        </w:rPr>
        <w:t xml:space="preserve">Contenido de la sesión verificado el 28 de octubre de 2026. Texto radicado verificado el 22 de octubre de 2026.</w:t>
      </w:r>
    </w:p>
    <w:p>
      <w:pPr>
        <w:pStyle w:val="Heading1"/>
        <w:keepNext/>
        <w:spacing w:after="160" w:before="340"/>
      </w:pPr>
      <w:r>
        <w:t xml:space="preserve">Comisión Primera del Senado</w:t>
      </w:r>
    </w:p>
    <w:p>
      <w:pPr>
        <w:pStyle w:val="Heading2"/>
        <w:keepNext/>
        <w:spacing w:after="120" w:before="280"/>
      </w:pPr>
      <w:r>
        <w:t xml:space="preserve">PL 223 de 2025 Senado</w:t>
      </w:r>
    </w:p>
    <w:p>
      <w:pPr>
        <w:keepNext/>
        <w:widowControl/>
        <w:spacing w:after="160" w:line="276"/>
      </w:pPr>
      <w:r>
        <w:rPr>
          <w:b/>
          <w:bCs/>
          <w:color w:val="000000"/>
          <w:sz w:val="24"/>
          <w:szCs w:val="24"/>
        </w:rPr>
        <w:t xml:space="preserve">Reglas para la ley seca</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Primera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El autor plantea que las restricciones de venta y consumo de alcohol necesitan criterios actualizados de necesidad, proporcionalidad y temporalidad. Busca conciliar seguridad y orden público con derechos ciudadanos y actividad económica, reducir decisiones arbitrarias y permitir tratamientos diferenciados según los riesgos de cada territorio o elección.</w:t>
      </w:r>
    </w:p>
    <w:p>
      <w:pPr>
        <w:pStyle w:val="Heading2"/>
        <w:keepNext/>
        <w:spacing w:after="80" w:before="200"/>
      </w:pPr>
      <w:r>
        <w:t xml:space="preserve">Objeto del texto radicado</w:t>
      </w:r>
    </w:p>
    <w:p>
      <w:pPr>
        <w:widowControl/>
        <w:spacing w:after="100" w:line="276"/>
      </w:pPr>
      <w:r>
        <w:rPr>
          <w:color w:val="000000"/>
          <w:sz w:val="22"/>
          <w:szCs w:val="22"/>
        </w:rPr>
        <w:t xml:space="preserve">Crea un marco para la ley seca basado en necesidad, proporcionalidad, temporalidad y publicidad. Regula duración, motivación, aplicación territorial y excepciones para restaurantes y hospedajes; el texto posterior ajusta la estructura y las reglas electorales.</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612/2026 regula la restricción temporal de venta y consumo de bebidas embriagantes para preservar o restablecer el orden público. Exige causalidad, ámbito y duración delimitados, motivación y publicidad; prevé máximo ordinario de 12 horas salvo alteración grave y reglas electorales y excepciones. La ficha oficial registra a Héctor Olimpo Espinosa Oliver como nuevo ponente. El orden cita 612 y 1355/2026; la ficha identifica esta última como adhesión, no como texto de ponencia diferente. No se presenta la iniciativa como eliminación general de la ley seca.</w:t>
      </w:r>
    </w:p>
    <w:p>
      <w:pPr>
        <w:pStyle w:val="Heading2"/>
        <w:keepNext/>
        <w:spacing w:after="80" w:before="200"/>
      </w:pPr>
      <w:r>
        <w:t xml:space="preserve">Ponentes</w:t>
      </w:r>
    </w:p>
    <w:p>
      <w:pPr>
        <w:widowControl/>
        <w:spacing w:after="100" w:line="276"/>
      </w:pPr>
      <w:r>
        <w:rPr>
          <w:color w:val="000000"/>
          <w:sz w:val="22"/>
          <w:szCs w:val="22"/>
        </w:rPr>
        <w:t xml:space="preserve">Héctor Olimpo Espinosa Oliver · nuevo ponente para segundo debate.</w:t>
      </w:r>
    </w:p>
    <w:p>
      <w:pPr>
        <w:pStyle w:val="Heading2"/>
        <w:keepNext/>
        <w:spacing w:after="80" w:before="200"/>
      </w:pPr>
      <w:r>
        <w:t xml:space="preserve">Documentos oficiales</w:t>
      </w:r>
    </w:p>
    <w:p>
      <w:pPr>
        <w:widowControl/>
        <w:spacing w:after="90" w:line="252"/>
      </w:pPr>
      <w:hyperlink w:history="1" r:id="rId9-g_t8ab9y3vmosstvkms">
        <w:r>
          <w:rPr>
            <w:rStyle w:val="Hyperlink"/>
            <w:sz w:val="19"/>
            <w:szCs w:val="19"/>
          </w:rPr>
          <w:t xml:space="preserve">Orden o soporte de sesión</w:t>
        </w:r>
      </w:hyperlink>
      <w:r>
        <w:rPr>
          <w:sz w:val="19"/>
          <w:szCs w:val="19"/>
        </w:rPr>
        <w:t xml:space="preserve">   ·   </w:t>
      </w:r>
      <w:hyperlink w:history="1" r:id="rIdybmw3askndmshjx_lf7fl">
        <w:r>
          <w:rPr>
            <w:rStyle w:val="Hyperlink"/>
            <w:sz w:val="19"/>
            <w:szCs w:val="19"/>
          </w:rPr>
          <w:t xml:space="preserve">Texto radicado</w:t>
        </w:r>
      </w:hyperlink>
      <w:r>
        <w:rPr>
          <w:sz w:val="19"/>
          <w:szCs w:val="19"/>
        </w:rPr>
        <w:t xml:space="preserve">   ·   </w:t>
      </w:r>
      <w:hyperlink w:history="1" r:id="rIdhc70ge5qod1je9x04ujfr">
        <w:r>
          <w:rPr>
            <w:rStyle w:val="Hyperlink"/>
            <w:sz w:val="19"/>
            <w:szCs w:val="19"/>
          </w:rPr>
          <w:t xml:space="preserve">Ponencia o soporte actual</w:t>
        </w:r>
      </w:hyperlink>
      <w:r>
        <w:rPr>
          <w:sz w:val="19"/>
          <w:szCs w:val="19"/>
        </w:rPr>
        <w:t xml:space="preserve">   ·   </w:t>
      </w:r>
      <w:hyperlink w:history="1" r:id="rIdv8nobzc8qbnon233kqrmy">
        <w:r>
          <w:rPr>
            <w:rStyle w:val="Hyperlink"/>
            <w:sz w:val="19"/>
            <w:szCs w:val="19"/>
          </w:rPr>
          <w:t xml:space="preserve">Fuente de ponentes</w:t>
        </w:r>
      </w:hyperlink>
    </w:p>
    <w:p>
      <w:pPr>
        <w:widowControl/>
        <w:spacing w:after="90" w:line="252"/>
      </w:pPr>
      <w:hyperlink w:history="1" r:id="rIdzbv7nx4reui19qyw89xjw">
        <w:r>
          <w:rPr>
            <w:rStyle w:val="Hyperlink"/>
            <w:sz w:val="19"/>
            <w:szCs w:val="19"/>
          </w:rPr>
          <w:t xml:space="preserve">Tipo de ley 28/10/2026</w:t>
        </w:r>
      </w:hyperlink>
      <w:r>
        <w:rPr>
          <w:sz w:val="19"/>
          <w:szCs w:val="19"/>
        </w:rPr>
        <w:t xml:space="preserve">   ·   </w:t>
      </w:r>
      <w:hyperlink w:history="1" r:id="rIdwpfck9zv4ue6ddjbavmi-">
        <w:r>
          <w:rPr>
            <w:rStyle w:val="Hyperlink"/>
            <w:sz w:val="19"/>
            <w:szCs w:val="19"/>
          </w:rPr>
          <w:t xml:space="preserve">Estado actual 25/10/2026</w:t>
        </w:r>
      </w:hyperlink>
      <w:r>
        <w:rPr>
          <w:sz w:val="19"/>
          <w:szCs w:val="19"/>
        </w:rPr>
        <w:t xml:space="preserve">   ·   </w:t>
      </w:r>
      <w:hyperlink w:history="1" r:id="rIds5rtknoo0kvr7qxykjqz5">
        <w:r>
          <w:rPr>
            <w:rStyle w:val="Hyperlink"/>
            <w:sz w:val="19"/>
            <w:szCs w:val="19"/>
          </w:rPr>
          <w:t xml:space="preserve">Origen 28/10/2026</w:t>
        </w:r>
      </w:hyperlink>
      <w:r>
        <w:rPr>
          <w:sz w:val="19"/>
          <w:szCs w:val="19"/>
        </w:rPr>
        <w:t xml:space="preserve">   ·   </w:t>
      </w:r>
      <w:hyperlink w:history="1" r:id="rIdyk14pexdtk-qf3riccvio">
        <w:r>
          <w:rPr>
            <w:rStyle w:val="Hyperlink"/>
            <w:sz w:val="19"/>
            <w:szCs w:val="19"/>
          </w:rPr>
          <w:t xml:space="preserve">Comisión 28/10/2026</w:t>
        </w:r>
      </w:hyperlink>
      <w:r>
        <w:rPr>
          <w:sz w:val="19"/>
          <w:szCs w:val="19"/>
        </w:rPr>
        <w:t xml:space="preserve">   ·   </w:t>
      </w:r>
      <w:hyperlink w:history="1" r:id="rIdanmnrmmrjhtqitj9whyyv">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objetivos y justificación de su naturaleza ordinaria, p. 8.</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295 de 2025 Senado</w:t>
      </w:r>
    </w:p>
    <w:p>
      <w:pPr>
        <w:keepNext/>
        <w:widowControl/>
        <w:spacing w:after="160" w:line="276"/>
      </w:pPr>
      <w:r>
        <w:rPr>
          <w:b/>
          <w:bCs/>
          <w:color w:val="000000"/>
          <w:sz w:val="24"/>
          <w:szCs w:val="24"/>
        </w:rPr>
        <w:t xml:space="preserve">Incompatibilidad sobreviniente de alcaldes y gobernadores por parentesco</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Primera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identifica un vacío en la incompatibilidad sobreviniente cuando un alcalde o gobernador en ejercicio tiene determinados vínculos familiares con una persona inscrita o elegida al Congreso. El autor busca prevenir el uso del poder territorial para favorecer esas candidaturas y proteger la separación funcional, la igualdad electoral y la transparencia, sin atribuir conductas concretas a personas determinadas.</w:t>
      </w:r>
    </w:p>
    <w:p>
      <w:pPr>
        <w:pStyle w:val="Heading2"/>
        <w:keepNext/>
        <w:spacing w:after="80" w:before="200"/>
      </w:pPr>
      <w:r>
        <w:t xml:space="preserve">Objeto del texto radicado</w:t>
      </w:r>
    </w:p>
    <w:p>
      <w:pPr>
        <w:widowControl/>
        <w:spacing w:after="100" w:line="276"/>
      </w:pPr>
      <w:r>
        <w:rPr>
          <w:color w:val="000000"/>
          <w:sz w:val="22"/>
          <w:szCs w:val="22"/>
        </w:rPr>
        <w:t xml:space="preserve">Texto inicial, PDF oficial de 14 páginas leído (articulado en p. 3): adiciona los arts. 96A a la Ley 136/1994 y 113A a la Ley 2200/2022. Propone incompatibilidad para alcaldes y gobernadores si, durante su mandato, cónyuge, pareja permanente o pariente en tercer grado de consanguinidad, primero de afinidad o único civil es inscrito, elegido o se posesiona como congresista. El original no incluye presidente ni vicepresidente y difiere de la ponencia posterior. Este campo completa el pendiente anterior de lectura del articulado; el ponente vigente sigue pendiente.</w:t>
      </w:r>
    </w:p>
    <w:p>
      <w:pPr>
        <w:pStyle w:val="Heading2"/>
        <w:keepNext/>
        <w:spacing w:after="80" w:before="200"/>
      </w:pPr>
      <w:r>
        <w:t xml:space="preserve">Análisis del soporte actual</w:t>
      </w:r>
    </w:p>
    <w:p>
      <w:pPr>
        <w:widowControl/>
        <w:spacing w:after="100" w:line="276"/>
      </w:pPr>
      <w:r>
        <w:rPr>
          <w:color w:val="000000"/>
          <w:sz w:val="22"/>
          <w:szCs w:val="22"/>
        </w:rPr>
        <w:t xml:space="preserve">El texto para segundo debate de la Gaceta 2127 del 10/11/2025 añade incompatibilidad sobreviniente a alcaldes y gobernadores cuando, durante su cargo, cónyuge, pareja permanente o pariente en segundo grado de consanguinidad, primero de afinidad o único civil sea inscrito, elegido o se posesione como congresista, presidente o vicepresidente. El orden aportado cita por error 2127/2026 e identifica a Carlos Alberto Benavides Mora. La ponencia pública de 2025 incluye a este senador entre varios ponentes: está pendiente corroborar la designación vigente de 2026.</w:t>
      </w:r>
    </w:p>
    <w:p>
      <w:pPr>
        <w:widowControl/>
        <w:spacing w:after="100" w:line="276"/>
      </w:pPr>
      <w:r>
        <w:rPr>
          <w:color w:val="000000"/>
          <w:sz w:val="22"/>
          <w:szCs w:val="22"/>
        </w:rPr>
        <w:t xml:space="preserve">El PDF inicial del portal y la Gaceta 1963/2025 contienen exposición y firmas, pero no se pudo verificar íntegramente el articulado inicial; se omiten campos de ficha original hasta resolverlo.</w:t>
      </w:r>
    </w:p>
    <w:p>
      <w:pPr>
        <w:pStyle w:val="Heading2"/>
        <w:keepNext/>
        <w:spacing w:after="80" w:before="200"/>
      </w:pPr>
      <w:r>
        <w:t xml:space="preserve">Ponentes</w:t>
      </w:r>
    </w:p>
    <w:p>
      <w:pPr>
        <w:widowControl/>
        <w:spacing w:after="100" w:line="276"/>
      </w:pPr>
      <w:r>
        <w:rPr>
          <w:color w:val="000000"/>
          <w:sz w:val="22"/>
          <w:szCs w:val="22"/>
        </w:rPr>
        <w:t xml:space="preserve">Designación oficial pendiente de verificación.</w:t>
      </w:r>
    </w:p>
    <w:p>
      <w:pPr>
        <w:pStyle w:val="Heading2"/>
        <w:keepNext/>
        <w:spacing w:after="80" w:before="200"/>
      </w:pPr>
      <w:r>
        <w:t xml:space="preserve">Documentos oficiales</w:t>
      </w:r>
    </w:p>
    <w:p>
      <w:pPr>
        <w:widowControl/>
        <w:spacing w:after="90" w:line="252"/>
      </w:pPr>
      <w:hyperlink w:history="1" r:id="rIdn6stauoazqrm3zbqe0vvi">
        <w:r>
          <w:rPr>
            <w:rStyle w:val="Hyperlink"/>
            <w:sz w:val="19"/>
            <w:szCs w:val="19"/>
          </w:rPr>
          <w:t xml:space="preserve">Orden o soporte de sesión</w:t>
        </w:r>
      </w:hyperlink>
      <w:r>
        <w:rPr>
          <w:sz w:val="19"/>
          <w:szCs w:val="19"/>
        </w:rPr>
        <w:t xml:space="preserve">   ·   </w:t>
      </w:r>
      <w:hyperlink w:history="1" r:id="rIdqxkkexypkkh0rgk2bdoou">
        <w:r>
          <w:rPr>
            <w:rStyle w:val="Hyperlink"/>
            <w:sz w:val="19"/>
            <w:szCs w:val="19"/>
          </w:rPr>
          <w:t xml:space="preserve">Texto radicado</w:t>
        </w:r>
      </w:hyperlink>
      <w:r>
        <w:rPr>
          <w:sz w:val="19"/>
          <w:szCs w:val="19"/>
        </w:rPr>
        <w:t xml:space="preserve">   ·   </w:t>
      </w:r>
      <w:hyperlink w:history="1" r:id="rIdg_z1zy7p8kmjcz8px0aae">
        <w:r>
          <w:rPr>
            <w:rStyle w:val="Hyperlink"/>
            <w:sz w:val="19"/>
            <w:szCs w:val="19"/>
          </w:rPr>
          <w:t xml:space="preserve">Ponencia o soporte actual</w:t>
        </w:r>
      </w:hyperlink>
    </w:p>
    <w:p>
      <w:pPr>
        <w:widowControl/>
        <w:spacing w:after="90" w:line="252"/>
      </w:pPr>
      <w:hyperlink w:history="1" r:id="rIdcpnddqqziseeakf0wchfs">
        <w:r>
          <w:rPr>
            <w:rStyle w:val="Hyperlink"/>
            <w:sz w:val="19"/>
            <w:szCs w:val="19"/>
          </w:rPr>
          <w:t xml:space="preserve">Tipo de ley 28/10/2026</w:t>
        </w:r>
      </w:hyperlink>
      <w:r>
        <w:rPr>
          <w:sz w:val="19"/>
          <w:szCs w:val="19"/>
        </w:rPr>
        <w:t xml:space="preserve">   ·   </w:t>
      </w:r>
      <w:hyperlink w:history="1" r:id="rIdfmrcutumeuipop2aiuuva">
        <w:r>
          <w:rPr>
            <w:rStyle w:val="Hyperlink"/>
            <w:sz w:val="19"/>
            <w:szCs w:val="19"/>
          </w:rPr>
          <w:t xml:space="preserve">Estado actual 25/10/2026</w:t>
        </w:r>
      </w:hyperlink>
      <w:r>
        <w:rPr>
          <w:sz w:val="19"/>
          <w:szCs w:val="19"/>
        </w:rPr>
        <w:t xml:space="preserve">   ·   </w:t>
      </w:r>
      <w:hyperlink w:history="1" r:id="rIdlwf202nmknefbp7-ovias">
        <w:r>
          <w:rPr>
            <w:rStyle w:val="Hyperlink"/>
            <w:sz w:val="19"/>
            <w:szCs w:val="19"/>
          </w:rPr>
          <w:t xml:space="preserve">Origen 28/10/2026</w:t>
        </w:r>
      </w:hyperlink>
      <w:r>
        <w:rPr>
          <w:sz w:val="19"/>
          <w:szCs w:val="19"/>
        </w:rPr>
        <w:t xml:space="preserve">   ·   </w:t>
      </w:r>
      <w:hyperlink w:history="1" r:id="rIdyjlq2dz470ox7rivp7gr6">
        <w:r>
          <w:rPr>
            <w:rStyle w:val="Hyperlink"/>
            <w:sz w:val="19"/>
            <w:szCs w:val="19"/>
          </w:rPr>
          <w:t xml:space="preserve">Comisión 28/10/2026</w:t>
        </w:r>
      </w:hyperlink>
      <w:r>
        <w:rPr>
          <w:sz w:val="19"/>
          <w:szCs w:val="19"/>
        </w:rPr>
        <w:t xml:space="preserve">   ·   </w:t>
      </w:r>
      <w:hyperlink w:history="1" r:id="rIddbgws_rv8bqe4h6zceb4c">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objeto y defensa del equilibrio de poderes, p. 6.</w:t>
      </w:r>
    </w:p>
    <w:p>
      <w:pPr>
        <w:widowControl/>
        <w:spacing w:after="120" w:line="276"/>
      </w:pPr>
      <w:r>
        <w:rPr>
          <w:color w:val="000000"/>
          <w:sz w:val="18"/>
          <w:szCs w:val="18"/>
        </w:rPr>
        <w:t xml:space="preserve">Contenido de la sesión verificado el 25 de octubre de 2026. Texto radicado verificado el 26 de octubre de 2026.</w:t>
      </w:r>
    </w:p>
    <w:p>
      <w:pPr>
        <w:pStyle w:val="Heading1"/>
        <w:keepNext/>
        <w:spacing w:after="160" w:before="340"/>
      </w:pPr>
      <w:r>
        <w:t xml:space="preserve">Comisión Segunda del Senado</w:t>
      </w:r>
    </w:p>
    <w:p>
      <w:pPr>
        <w:pStyle w:val="Heading2"/>
        <w:keepNext/>
        <w:spacing w:after="120" w:before="280"/>
      </w:pPr>
      <w:r>
        <w:t xml:space="preserve">PL 011 de 2025 Senado</w:t>
      </w:r>
    </w:p>
    <w:p>
      <w:pPr>
        <w:keepNext/>
        <w:widowControl/>
        <w:spacing w:after="160" w:line="276"/>
      </w:pPr>
      <w:r>
        <w:rPr>
          <w:b/>
          <w:bCs/>
          <w:color w:val="000000"/>
          <w:sz w:val="24"/>
          <w:szCs w:val="24"/>
        </w:rPr>
        <w:t xml:space="preserve">Homenaje a los 208 años de la fundación de Achí, Bolívar</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ponencia positiva, Gaceta 1288/2026.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Segunda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autora fundamenta el homenaje en la trayectoria histórica de Achí, su formación como poblado y municipio y el aporte de sus habitantes. La conmemoración de los 208 años sirve de motivo para asociar a la Nación al reconocimiento y autorizar apoyos presupuestales para las actividades y obras propuestas.</w:t>
      </w:r>
    </w:p>
    <w:p>
      <w:pPr>
        <w:pStyle w:val="Heading2"/>
        <w:keepNext/>
        <w:spacing w:after="80" w:before="200"/>
      </w:pPr>
      <w:r>
        <w:t xml:space="preserve">Objeto del texto radicado</w:t>
      </w:r>
    </w:p>
    <w:p>
      <w:pPr>
        <w:widowControl/>
        <w:spacing w:after="100" w:line="276"/>
      </w:pPr>
      <w:r>
        <w:rPr>
          <w:color w:val="000000"/>
          <w:sz w:val="22"/>
          <w:szCs w:val="22"/>
        </w:rPr>
        <w:t xml:space="preserve">Rinde homenaje a los 208 años de Achí y autoriza incorporar recursos para palacio municipal, malecón, alcantarillado y nueva sede del Hospital San José. Las apropiaciones se sujetan a las reglas y disponibilidades presupuestales. Corresponde al texto inicial, no a la ponencia posterior.</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positiva propone asociar a la Nación y al Congreso a los 208 años de fundación de Achí y reconocer el aporte de sus habitantes. El texto para segundo debate autoriza al Gobierno a incorporar en el PGN y promover mediante cofinanciación proyectos de sede administrativa o palacio municipal, malecón, alcantarillado y nueva sede de la ESE Hospital San José de Achí. Las autorizaciones se incorporarían conforme a las normas orgánicas presupuestales, primero reasignando recursos existentes y luego según las disponibilidades de cada vigencia; no son apropiaciones automáticas ni obras ya financiadas.</w:t>
      </w:r>
    </w:p>
    <w:p>
      <w:pPr>
        <w:widowControl/>
        <w:spacing w:after="100" w:line="276"/>
      </w:pPr>
      <w:r>
        <w:rPr>
          <w:color w:val="000000"/>
          <w:sz w:val="22"/>
          <w:szCs w:val="22"/>
        </w:rPr>
        <w:t xml:space="preserve">Ponente para segundo debate: Agmeth José Escaf Tijerino. Número de Cámara no indicado en el orden ni en la ponencia consultada.</w:t>
      </w:r>
    </w:p>
    <w:p>
      <w:pPr>
        <w:pStyle w:val="Heading2"/>
        <w:keepNext/>
        <w:spacing w:after="80" w:before="200"/>
      </w:pPr>
      <w:r>
        <w:t xml:space="preserve">Ponentes</w:t>
      </w:r>
    </w:p>
    <w:p>
      <w:pPr>
        <w:widowControl/>
        <w:spacing w:after="100" w:line="276"/>
      </w:pPr>
      <w:r>
        <w:rPr>
          <w:color w:val="000000"/>
          <w:sz w:val="22"/>
          <w:szCs w:val="22"/>
        </w:rPr>
        <w:t xml:space="preserve">Agmeth José Escaf Tijerino · ponente para segundo debate en Senado.</w:t>
      </w:r>
    </w:p>
    <w:p>
      <w:pPr>
        <w:pStyle w:val="Heading2"/>
        <w:keepNext/>
        <w:spacing w:after="80" w:before="200"/>
      </w:pPr>
      <w:r>
        <w:t xml:space="preserve">Documentos oficiales</w:t>
      </w:r>
    </w:p>
    <w:p>
      <w:pPr>
        <w:widowControl/>
        <w:spacing w:after="90" w:line="252"/>
      </w:pPr>
      <w:hyperlink w:history="1" r:id="rIdfhvlqlwjmzw-jpcwkccvb">
        <w:r>
          <w:rPr>
            <w:rStyle w:val="Hyperlink"/>
            <w:sz w:val="19"/>
            <w:szCs w:val="19"/>
          </w:rPr>
          <w:t xml:space="preserve">Orden o soporte de sesión</w:t>
        </w:r>
      </w:hyperlink>
      <w:r>
        <w:rPr>
          <w:sz w:val="19"/>
          <w:szCs w:val="19"/>
        </w:rPr>
        <w:t xml:space="preserve">   ·   </w:t>
      </w:r>
      <w:hyperlink w:history="1" r:id="rIdf0trr6foaigsr0na_hasz">
        <w:r>
          <w:rPr>
            <w:rStyle w:val="Hyperlink"/>
            <w:sz w:val="19"/>
            <w:szCs w:val="19"/>
          </w:rPr>
          <w:t xml:space="preserve">Texto radicado</w:t>
        </w:r>
      </w:hyperlink>
      <w:r>
        <w:rPr>
          <w:sz w:val="19"/>
          <w:szCs w:val="19"/>
        </w:rPr>
        <w:t xml:space="preserve">   ·   </w:t>
      </w:r>
      <w:hyperlink w:history="1" r:id="rIdx6itqd0x1q-kv0mnczosd">
        <w:r>
          <w:rPr>
            <w:rStyle w:val="Hyperlink"/>
            <w:sz w:val="19"/>
            <w:szCs w:val="19"/>
          </w:rPr>
          <w:t xml:space="preserve">Ponencia o soporte actual</w:t>
        </w:r>
      </w:hyperlink>
      <w:r>
        <w:rPr>
          <w:sz w:val="19"/>
          <w:szCs w:val="19"/>
        </w:rPr>
        <w:t xml:space="preserve">   ·   </w:t>
      </w:r>
      <w:hyperlink w:history="1" r:id="rIdoyl61orxx9byrtieey5ea">
        <w:r>
          <w:rPr>
            <w:rStyle w:val="Hyperlink"/>
            <w:sz w:val="19"/>
            <w:szCs w:val="19"/>
          </w:rPr>
          <w:t xml:space="preserve">Fuente de ponentes</w:t>
        </w:r>
      </w:hyperlink>
    </w:p>
    <w:p>
      <w:pPr>
        <w:widowControl/>
        <w:spacing w:after="90" w:line="252"/>
      </w:pPr>
      <w:hyperlink w:history="1" r:id="rIdq8gyfsl87adxlexxkjfhk">
        <w:r>
          <w:rPr>
            <w:rStyle w:val="Hyperlink"/>
            <w:sz w:val="19"/>
            <w:szCs w:val="19"/>
          </w:rPr>
          <w:t xml:space="preserve">Tipo de ley 28/10/2026</w:t>
        </w:r>
      </w:hyperlink>
      <w:r>
        <w:rPr>
          <w:sz w:val="19"/>
          <w:szCs w:val="19"/>
        </w:rPr>
        <w:t xml:space="preserve">   ·   </w:t>
      </w:r>
      <w:hyperlink w:history="1" r:id="rIdfjt_1xu2jsffstpwqv-b7">
        <w:r>
          <w:rPr>
            <w:rStyle w:val="Hyperlink"/>
            <w:sz w:val="19"/>
            <w:szCs w:val="19"/>
          </w:rPr>
          <w:t xml:space="preserve">Estado actual 25/10/2026</w:t>
        </w:r>
      </w:hyperlink>
      <w:r>
        <w:rPr>
          <w:sz w:val="19"/>
          <w:szCs w:val="19"/>
        </w:rPr>
        <w:t xml:space="preserve">   ·   </w:t>
      </w:r>
      <w:hyperlink w:history="1" r:id="rId9faoc4cda_ckgruvbrf8s">
        <w:r>
          <w:rPr>
            <w:rStyle w:val="Hyperlink"/>
            <w:sz w:val="19"/>
            <w:szCs w:val="19"/>
          </w:rPr>
          <w:t xml:space="preserve">Origen 28/10/2026</w:t>
        </w:r>
      </w:hyperlink>
      <w:r>
        <w:rPr>
          <w:sz w:val="19"/>
          <w:szCs w:val="19"/>
        </w:rPr>
        <w:t xml:space="preserve">   ·   </w:t>
      </w:r>
      <w:hyperlink w:history="1" r:id="rIdrxqzmmjzijtnz5jbsrecm">
        <w:r>
          <w:rPr>
            <w:rStyle w:val="Hyperlink"/>
            <w:sz w:val="19"/>
            <w:szCs w:val="19"/>
          </w:rPr>
          <w:t xml:space="preserve">Comisión 28/10/2026</w:t>
        </w:r>
      </w:hyperlink>
      <w:r>
        <w:rPr>
          <w:sz w:val="19"/>
          <w:szCs w:val="19"/>
        </w:rPr>
        <w:t xml:space="preserve">   ·   </w:t>
      </w:r>
      <w:hyperlink w:history="1" r:id="rId4syheunu-x6i9t8j1z0r0">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y justificación, p. 4.</w:t>
      </w:r>
    </w:p>
    <w:p>
      <w:pPr>
        <w:widowControl/>
        <w:spacing w:after="120" w:line="276"/>
      </w:pPr>
      <w:r>
        <w:rPr>
          <w:color w:val="000000"/>
          <w:sz w:val="18"/>
          <w:szCs w:val="18"/>
        </w:rPr>
        <w:t xml:space="preserve">Contenido de la sesión verificado el 25 de octubre de 2026. Texto radicado verificado el 20 de octubre de 2026.</w:t>
      </w:r>
    </w:p>
    <w:p>
      <w:pPr>
        <w:pStyle w:val="Heading2"/>
        <w:keepNext/>
        <w:spacing w:after="120" w:before="280"/>
      </w:pPr>
      <w:r>
        <w:t xml:space="preserve">PL 197 de 2025 Senado</w:t>
      </w:r>
    </w:p>
    <w:p>
      <w:pPr>
        <w:keepNext/>
        <w:widowControl/>
        <w:spacing w:after="160" w:line="276"/>
      </w:pPr>
      <w:r>
        <w:rPr>
          <w:b/>
          <w:bCs/>
          <w:color w:val="000000"/>
          <w:sz w:val="24"/>
          <w:szCs w:val="24"/>
        </w:rPr>
        <w:t xml:space="preserve">Patía · saberes ancestrales afrocolombianos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Segunda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presenta al Patía como un territorio cuya memoria, prácticas comunitarias y saberes afrocolombianos han resistido la violencia y la exclusión. Justifica el reconocimiento cultural como instrumento de reconciliación, inclusión y desarrollo territorial con participación de las comunidades, además de su dimensión conmemorativa.</w:t>
      </w:r>
    </w:p>
    <w:p>
      <w:pPr>
        <w:pStyle w:val="Heading2"/>
        <w:keepNext/>
        <w:spacing w:after="80" w:before="200"/>
      </w:pPr>
      <w:r>
        <w:t xml:space="preserve">Objeto del texto radicado</w:t>
      </w:r>
    </w:p>
    <w:p>
      <w:pPr>
        <w:widowControl/>
        <w:spacing w:after="100" w:line="276"/>
      </w:pPr>
      <w:r>
        <w:rPr>
          <w:color w:val="000000"/>
          <w:sz w:val="22"/>
          <w:szCs w:val="22"/>
        </w:rPr>
        <w:t xml:space="preserve">Homenaje a Patía y a sus saberes afrocolombianos. Prevé trámite de patrimonio inmaterial, documental, parque de herencia afrocolombiana y maloca, festivales, mediateca, formación y protección de cuencas; financiación sujeta al marco presupuestal.</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1324/2026 rinde homenaje a Patía como territorio de resistencia afrocolombiana, paz y cultura viva. Propone salvaguardia de saberes, trámite patrimonial, documental, parque y maloca, formación artística, festivales y protección de cuencas. Las autorizaciones de gasto dependen de reglas y disponibilidades presupuestales; no acreditan obras financiadas. Incluye reporte anual al Congreso sobre implementación.</w:t>
      </w:r>
    </w:p>
    <w:p>
      <w:pPr>
        <w:pStyle w:val="Heading2"/>
        <w:keepNext/>
        <w:spacing w:after="80" w:before="200"/>
      </w:pPr>
      <w:r>
        <w:t xml:space="preserve">Ponentes</w:t>
      </w:r>
    </w:p>
    <w:p>
      <w:pPr>
        <w:widowControl/>
        <w:spacing w:after="100" w:line="276"/>
      </w:pPr>
      <w:r>
        <w:rPr>
          <w:color w:val="000000"/>
          <w:sz w:val="22"/>
          <w:szCs w:val="22"/>
        </w:rPr>
        <w:t xml:space="preserve">Jesús Omero Cuasapud Chaspuengal · segundo debate en Senado.</w:t>
      </w:r>
    </w:p>
    <w:p>
      <w:pPr>
        <w:pStyle w:val="Heading2"/>
        <w:keepNext/>
        <w:spacing w:after="80" w:before="200"/>
      </w:pPr>
      <w:r>
        <w:t xml:space="preserve">Documentos oficiales</w:t>
      </w:r>
    </w:p>
    <w:p>
      <w:pPr>
        <w:widowControl/>
        <w:spacing w:after="90" w:line="252"/>
      </w:pPr>
      <w:hyperlink w:history="1" r:id="rIdjzvchs6saxzniz7ocnkxa">
        <w:r>
          <w:rPr>
            <w:rStyle w:val="Hyperlink"/>
            <w:sz w:val="19"/>
            <w:szCs w:val="19"/>
          </w:rPr>
          <w:t xml:space="preserve">Orden o soporte de sesión</w:t>
        </w:r>
      </w:hyperlink>
      <w:r>
        <w:rPr>
          <w:sz w:val="19"/>
          <w:szCs w:val="19"/>
        </w:rPr>
        <w:t xml:space="preserve">   ·   </w:t>
      </w:r>
      <w:hyperlink w:history="1" r:id="rIdbairkh7fvtq-2-bpjukbw">
        <w:r>
          <w:rPr>
            <w:rStyle w:val="Hyperlink"/>
            <w:sz w:val="19"/>
            <w:szCs w:val="19"/>
          </w:rPr>
          <w:t xml:space="preserve">Texto radicado</w:t>
        </w:r>
      </w:hyperlink>
      <w:r>
        <w:rPr>
          <w:sz w:val="19"/>
          <w:szCs w:val="19"/>
        </w:rPr>
        <w:t xml:space="preserve">   ·   </w:t>
      </w:r>
      <w:hyperlink w:history="1" r:id="rIdg8q5j-xuaib4z870d6ltt">
        <w:r>
          <w:rPr>
            <w:rStyle w:val="Hyperlink"/>
            <w:sz w:val="19"/>
            <w:szCs w:val="19"/>
          </w:rPr>
          <w:t xml:space="preserve">Ponencia o soporte actual</w:t>
        </w:r>
      </w:hyperlink>
      <w:r>
        <w:rPr>
          <w:sz w:val="19"/>
          <w:szCs w:val="19"/>
        </w:rPr>
        <w:t xml:space="preserve">   ·   </w:t>
      </w:r>
      <w:hyperlink w:history="1" r:id="rIdiuzucubh3vto4ktkv-kbw">
        <w:r>
          <w:rPr>
            <w:rStyle w:val="Hyperlink"/>
            <w:sz w:val="19"/>
            <w:szCs w:val="19"/>
          </w:rPr>
          <w:t xml:space="preserve">Fuente de ponentes</w:t>
        </w:r>
      </w:hyperlink>
    </w:p>
    <w:p>
      <w:pPr>
        <w:widowControl/>
        <w:spacing w:after="90" w:line="252"/>
      </w:pPr>
      <w:hyperlink w:history="1" r:id="rIdjvvbpyveyd9af5sd_sl4d">
        <w:r>
          <w:rPr>
            <w:rStyle w:val="Hyperlink"/>
            <w:sz w:val="19"/>
            <w:szCs w:val="19"/>
          </w:rPr>
          <w:t xml:space="preserve">Tipo de ley 28/10/2026</w:t>
        </w:r>
      </w:hyperlink>
      <w:r>
        <w:rPr>
          <w:sz w:val="19"/>
          <w:szCs w:val="19"/>
        </w:rPr>
        <w:t xml:space="preserve">   ·   </w:t>
      </w:r>
      <w:hyperlink w:history="1" r:id="rIddh1_bkw8paobcwae664kv">
        <w:r>
          <w:rPr>
            <w:rStyle w:val="Hyperlink"/>
            <w:sz w:val="19"/>
            <w:szCs w:val="19"/>
          </w:rPr>
          <w:t xml:space="preserve">Estado actual 25/10/2026</w:t>
        </w:r>
      </w:hyperlink>
      <w:r>
        <w:rPr>
          <w:sz w:val="19"/>
          <w:szCs w:val="19"/>
        </w:rPr>
        <w:t xml:space="preserve">   ·   </w:t>
      </w:r>
      <w:hyperlink w:history="1" r:id="rIdf7sj89ocwpdttwixbkkqi">
        <w:r>
          <w:rPr>
            <w:rStyle w:val="Hyperlink"/>
            <w:sz w:val="19"/>
            <w:szCs w:val="19"/>
          </w:rPr>
          <w:t xml:space="preserve">Origen 28/10/2026</w:t>
        </w:r>
      </w:hyperlink>
      <w:r>
        <w:rPr>
          <w:sz w:val="19"/>
          <w:szCs w:val="19"/>
        </w:rPr>
        <w:t xml:space="preserve">   ·   </w:t>
      </w:r>
      <w:hyperlink w:history="1" r:id="rId67c_0mezp8n2_p9_8fasi">
        <w:r>
          <w:rPr>
            <w:rStyle w:val="Hyperlink"/>
            <w:sz w:val="19"/>
            <w:szCs w:val="19"/>
          </w:rPr>
          <w:t xml:space="preserve">Comisión 28/10/2026</w:t>
        </w:r>
      </w:hyperlink>
      <w:r>
        <w:rPr>
          <w:sz w:val="19"/>
          <w:szCs w:val="19"/>
        </w:rPr>
        <w:t xml:space="preserve">   ·   </w:t>
      </w:r>
      <w:hyperlink w:history="1" r:id="rIdko9jyclevtrv4xn-h7sgv">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introducción, p. 9.</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087 de 2026 Senado</w:t>
      </w:r>
    </w:p>
    <w:p>
      <w:pPr>
        <w:keepNext/>
        <w:widowControl/>
        <w:spacing w:after="160" w:line="276"/>
      </w:pPr>
      <w:r>
        <w:rPr>
          <w:b/>
          <w:bCs/>
          <w:color w:val="000000"/>
          <w:sz w:val="24"/>
          <w:szCs w:val="24"/>
        </w:rPr>
        <w:t xml:space="preserve">Homenaje a San Benito Abad, Sucre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Segunda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sustenta el homenaje en la importancia histórica, económica y cultural de San Benito Abad y en la facultad del Congreso para reconocer ese patrimonio y autorizar inversiones de interés público. Vincula la conmemoración con infraestructura y bienestar de la población, sujetos a las condiciones presupuestales del proyecto.</w:t>
      </w:r>
    </w:p>
    <w:p>
      <w:pPr>
        <w:pStyle w:val="Heading2"/>
        <w:keepNext/>
        <w:spacing w:after="80" w:before="200"/>
      </w:pPr>
      <w:r>
        <w:t xml:space="preserve">Objeto del texto radicado</w:t>
      </w:r>
    </w:p>
    <w:p>
      <w:pPr>
        <w:widowControl/>
        <w:spacing w:after="100" w:line="276"/>
      </w:pPr>
      <w:r>
        <w:rPr>
          <w:color w:val="000000"/>
          <w:sz w:val="22"/>
          <w:szCs w:val="22"/>
        </w:rPr>
        <w:t xml:space="preserve">Reconoce la importancia histórica, económica y cultural de San Benito Abad. Autoriza partidas para muelle turístico, hospital y vías terciarias, sin afectar sostenibilidad fiscal y conforme a disponibilidad presupuestal.</w:t>
      </w:r>
    </w:p>
    <w:p>
      <w:pPr>
        <w:pStyle w:val="Heading2"/>
        <w:keepNext/>
        <w:spacing w:after="80" w:before="200"/>
      </w:pPr>
      <w:r>
        <w:t xml:space="preserve">Análisis del soporte actual</w:t>
      </w:r>
    </w:p>
    <w:p>
      <w:pPr>
        <w:widowControl/>
        <w:spacing w:after="100" w:line="276"/>
      </w:pPr>
      <w:r>
        <w:rPr>
          <w:color w:val="000000"/>
          <w:sz w:val="22"/>
          <w:szCs w:val="22"/>
        </w:rPr>
        <w:t xml:space="preserve">La Gaceta 1378/2026 incluye la ponencia de reconocimiento a San Benito Abad y proyectos de muelle turístico, infraestructura hospitalaria y vías terciarias. Las autorizaciones de gasto se sujetan a normas presupuestales, disponibilidades y posibles aportes territoriales o privados; no son apropiaciones automáticas. El nombre del archivo inicial contiene la errata «ABAB».</w:t>
      </w:r>
    </w:p>
    <w:p>
      <w:pPr>
        <w:pStyle w:val="Heading2"/>
        <w:keepNext/>
        <w:spacing w:after="80" w:before="200"/>
      </w:pPr>
      <w:r>
        <w:t xml:space="preserve">Ponentes</w:t>
      </w:r>
    </w:p>
    <w:p>
      <w:pPr>
        <w:widowControl/>
        <w:spacing w:after="100" w:line="276"/>
      </w:pPr>
      <w:r>
        <w:rPr>
          <w:color w:val="000000"/>
          <w:sz w:val="22"/>
          <w:szCs w:val="22"/>
        </w:rPr>
        <w:t xml:space="preserve">Antonio José Correa Jiménez · segundo debate en Senado.</w:t>
      </w:r>
    </w:p>
    <w:p>
      <w:pPr>
        <w:pStyle w:val="Heading2"/>
        <w:keepNext/>
        <w:spacing w:after="80" w:before="200"/>
      </w:pPr>
      <w:r>
        <w:t xml:space="preserve">Documentos oficiales</w:t>
      </w:r>
    </w:p>
    <w:p>
      <w:pPr>
        <w:widowControl/>
        <w:spacing w:after="90" w:line="252"/>
      </w:pPr>
      <w:hyperlink w:history="1" r:id="rId0zhkonabyewam7vcgeohq">
        <w:r>
          <w:rPr>
            <w:rStyle w:val="Hyperlink"/>
            <w:sz w:val="19"/>
            <w:szCs w:val="19"/>
          </w:rPr>
          <w:t xml:space="preserve">Orden o soporte de sesión</w:t>
        </w:r>
      </w:hyperlink>
      <w:r>
        <w:rPr>
          <w:sz w:val="19"/>
          <w:szCs w:val="19"/>
        </w:rPr>
        <w:t xml:space="preserve">   ·   </w:t>
      </w:r>
      <w:hyperlink w:history="1" r:id="rIdu7_5mhcqj8fsjyvv3fn9f">
        <w:r>
          <w:rPr>
            <w:rStyle w:val="Hyperlink"/>
            <w:sz w:val="19"/>
            <w:szCs w:val="19"/>
          </w:rPr>
          <w:t xml:space="preserve">Texto radicado</w:t>
        </w:r>
      </w:hyperlink>
      <w:r>
        <w:rPr>
          <w:sz w:val="19"/>
          <w:szCs w:val="19"/>
        </w:rPr>
        <w:t xml:space="preserve">   ·   </w:t>
      </w:r>
      <w:hyperlink w:history="1" r:id="rIdlfz4vvnpapckw64gnpusy">
        <w:r>
          <w:rPr>
            <w:rStyle w:val="Hyperlink"/>
            <w:sz w:val="19"/>
            <w:szCs w:val="19"/>
          </w:rPr>
          <w:t xml:space="preserve">Ponencia o soporte actual</w:t>
        </w:r>
      </w:hyperlink>
      <w:r>
        <w:rPr>
          <w:sz w:val="19"/>
          <w:szCs w:val="19"/>
        </w:rPr>
        <w:t xml:space="preserve">   ·   </w:t>
      </w:r>
      <w:hyperlink w:history="1" r:id="rIdqxgvrlc90hjnzlbfydtjx">
        <w:r>
          <w:rPr>
            <w:rStyle w:val="Hyperlink"/>
            <w:sz w:val="19"/>
            <w:szCs w:val="19"/>
          </w:rPr>
          <w:t xml:space="preserve">Fuente de ponentes</w:t>
        </w:r>
      </w:hyperlink>
    </w:p>
    <w:p>
      <w:pPr>
        <w:widowControl/>
        <w:spacing w:after="90" w:line="252"/>
      </w:pPr>
      <w:hyperlink w:history="1" r:id="rIdsvzupplwufcxdz0cy9gud">
        <w:r>
          <w:rPr>
            <w:rStyle w:val="Hyperlink"/>
            <w:sz w:val="19"/>
            <w:szCs w:val="19"/>
          </w:rPr>
          <w:t xml:space="preserve">Tipo de ley 28/10/2026</w:t>
        </w:r>
      </w:hyperlink>
      <w:r>
        <w:rPr>
          <w:sz w:val="19"/>
          <w:szCs w:val="19"/>
        </w:rPr>
        <w:t xml:space="preserve">   ·   </w:t>
      </w:r>
      <w:hyperlink w:history="1" r:id="rIdjkbsxjajmxfec6p3xhkuu">
        <w:r>
          <w:rPr>
            <w:rStyle w:val="Hyperlink"/>
            <w:sz w:val="19"/>
            <w:szCs w:val="19"/>
          </w:rPr>
          <w:t xml:space="preserve">Estado actual 25/10/2026</w:t>
        </w:r>
      </w:hyperlink>
      <w:r>
        <w:rPr>
          <w:sz w:val="19"/>
          <w:szCs w:val="19"/>
        </w:rPr>
        <w:t xml:space="preserve">   ·   </w:t>
      </w:r>
      <w:hyperlink w:history="1" r:id="rIdjq47gia7xoldgh9lqvgdp">
        <w:r>
          <w:rPr>
            <w:rStyle w:val="Hyperlink"/>
            <w:sz w:val="19"/>
            <w:szCs w:val="19"/>
          </w:rPr>
          <w:t xml:space="preserve">Origen 28/10/2026</w:t>
        </w:r>
      </w:hyperlink>
      <w:r>
        <w:rPr>
          <w:sz w:val="19"/>
          <w:szCs w:val="19"/>
        </w:rPr>
        <w:t xml:space="preserve">   ·   </w:t>
      </w:r>
      <w:hyperlink w:history="1" r:id="rIdt2rftfqbpkr8gbdfjoul-">
        <w:r>
          <w:rPr>
            <w:rStyle w:val="Hyperlink"/>
            <w:sz w:val="19"/>
            <w:szCs w:val="19"/>
          </w:rPr>
          <w:t xml:space="preserve">Comisión 28/10/2026</w:t>
        </w:r>
      </w:hyperlink>
      <w:r>
        <w:rPr>
          <w:sz w:val="19"/>
          <w:szCs w:val="19"/>
        </w:rPr>
        <w:t xml:space="preserve">   ·   </w:t>
      </w:r>
      <w:hyperlink w:history="1" r:id="rId5vnndpg5ucvr3xtp0tr-d">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y fundamentos jurídicos, p. 4.</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088 de 2026 Senado</w:t>
      </w:r>
    </w:p>
    <w:p>
      <w:pPr>
        <w:keepNext/>
        <w:widowControl/>
        <w:spacing w:after="160" w:line="276"/>
      </w:pPr>
      <w:r>
        <w:rPr>
          <w:b/>
          <w:bCs/>
          <w:color w:val="000000"/>
          <w:sz w:val="24"/>
          <w:szCs w:val="24"/>
        </w:rPr>
        <w:t xml:space="preserve">Lorica y San Sebastián · barro y pintura primitivista</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Segunda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resalta la alfarería y la pintura primitivista de San Sebastián y Lorica como oficios vinculados al patrimonio y al sustento de sus artesanos. Justifica medidas de reconocimiento, transmisión de técnicas a nuevas generaciones y promoción económica de la actividad artesanal, con preservación cultural y ambiental.</w:t>
      </w:r>
    </w:p>
    <w:p>
      <w:pPr>
        <w:pStyle w:val="Heading2"/>
        <w:keepNext/>
        <w:spacing w:after="80" w:before="200"/>
      </w:pPr>
      <w:r>
        <w:t xml:space="preserve">Objeto del texto radicado</w:t>
      </w:r>
    </w:p>
    <w:p>
      <w:pPr>
        <w:widowControl/>
        <w:spacing w:after="100" w:line="276"/>
      </w:pPr>
      <w:r>
        <w:rPr>
          <w:color w:val="000000"/>
          <w:sz w:val="22"/>
          <w:szCs w:val="22"/>
        </w:rPr>
        <w:t xml:space="preserve">Exalta a Lorica y San Sebastián por artesanías de barro y pintura primitivista; reconoce a Marcial Alegría, propone día conmemorativo y centro cultural, formación y apoyos para artesanos sujetos a disponibilidad presupuestal.</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1378/2026 exalta a Lorica y San Sebastián, reconoce a Marcial Alegría Garcés, propone conmemoración del 20 de marzo y centro cultural en su casa, formación, exhibición, talleres y productividad artesanal. Contempla apoyos a artesanos vulnerables, formalización y veeduría ciudadana. Las autorizaciones presupuestales no acreditan subsidios ya asignados.</w:t>
      </w:r>
    </w:p>
    <w:p>
      <w:pPr>
        <w:pStyle w:val="Heading2"/>
        <w:keepNext/>
        <w:spacing w:after="80" w:before="200"/>
      </w:pPr>
      <w:r>
        <w:t xml:space="preserve">Ponentes</w:t>
      </w:r>
    </w:p>
    <w:p>
      <w:pPr>
        <w:widowControl/>
        <w:spacing w:after="100" w:line="276"/>
      </w:pPr>
      <w:r>
        <w:rPr>
          <w:color w:val="000000"/>
          <w:sz w:val="22"/>
          <w:szCs w:val="22"/>
        </w:rPr>
        <w:t xml:space="preserve">Antonio José Correa Jiménez · segundo debate en Senado.</w:t>
      </w:r>
    </w:p>
    <w:p>
      <w:pPr>
        <w:pStyle w:val="Heading2"/>
        <w:keepNext/>
        <w:spacing w:after="80" w:before="200"/>
      </w:pPr>
      <w:r>
        <w:t xml:space="preserve">Documentos oficiales</w:t>
      </w:r>
    </w:p>
    <w:p>
      <w:pPr>
        <w:widowControl/>
        <w:spacing w:after="90" w:line="252"/>
      </w:pPr>
      <w:hyperlink w:history="1" r:id="rIdlf6zj6giyaqeg3rs_oje_">
        <w:r>
          <w:rPr>
            <w:rStyle w:val="Hyperlink"/>
            <w:sz w:val="19"/>
            <w:szCs w:val="19"/>
          </w:rPr>
          <w:t xml:space="preserve">Orden o soporte de sesión</w:t>
        </w:r>
      </w:hyperlink>
      <w:r>
        <w:rPr>
          <w:sz w:val="19"/>
          <w:szCs w:val="19"/>
        </w:rPr>
        <w:t xml:space="preserve">   ·   </w:t>
      </w:r>
      <w:hyperlink w:history="1" r:id="rIdv_8nbtwep6jy01gxl4nqw">
        <w:r>
          <w:rPr>
            <w:rStyle w:val="Hyperlink"/>
            <w:sz w:val="19"/>
            <w:szCs w:val="19"/>
          </w:rPr>
          <w:t xml:space="preserve">Texto radicado</w:t>
        </w:r>
      </w:hyperlink>
      <w:r>
        <w:rPr>
          <w:sz w:val="19"/>
          <w:szCs w:val="19"/>
        </w:rPr>
        <w:t xml:space="preserve">   ·   </w:t>
      </w:r>
      <w:hyperlink w:history="1" r:id="rId6kim2oyhliyezmw8md-be">
        <w:r>
          <w:rPr>
            <w:rStyle w:val="Hyperlink"/>
            <w:sz w:val="19"/>
            <w:szCs w:val="19"/>
          </w:rPr>
          <w:t xml:space="preserve">Ponencia o soporte actual</w:t>
        </w:r>
      </w:hyperlink>
      <w:r>
        <w:rPr>
          <w:sz w:val="19"/>
          <w:szCs w:val="19"/>
        </w:rPr>
        <w:t xml:space="preserve">   ·   </w:t>
      </w:r>
      <w:hyperlink w:history="1" r:id="rIdzfzct7jyhw7qw6jspelya">
        <w:r>
          <w:rPr>
            <w:rStyle w:val="Hyperlink"/>
            <w:sz w:val="19"/>
            <w:szCs w:val="19"/>
          </w:rPr>
          <w:t xml:space="preserve">Fuente de ponentes</w:t>
        </w:r>
      </w:hyperlink>
    </w:p>
    <w:p>
      <w:pPr>
        <w:widowControl/>
        <w:spacing w:after="90" w:line="252"/>
      </w:pPr>
      <w:hyperlink w:history="1" r:id="rIdtgai2n0fqbh1k6pvrpbdb">
        <w:r>
          <w:rPr>
            <w:rStyle w:val="Hyperlink"/>
            <w:sz w:val="19"/>
            <w:szCs w:val="19"/>
          </w:rPr>
          <w:t xml:space="preserve">Tipo de ley 28/10/2026</w:t>
        </w:r>
      </w:hyperlink>
      <w:r>
        <w:rPr>
          <w:sz w:val="19"/>
          <w:szCs w:val="19"/>
        </w:rPr>
        <w:t xml:space="preserve">   ·   </w:t>
      </w:r>
      <w:hyperlink w:history="1" r:id="rId7mmo8pon_b0mpnxvjmjcn">
        <w:r>
          <w:rPr>
            <w:rStyle w:val="Hyperlink"/>
            <w:sz w:val="19"/>
            <w:szCs w:val="19"/>
          </w:rPr>
          <w:t xml:space="preserve">Estado actual 25/10/2026</w:t>
        </w:r>
      </w:hyperlink>
      <w:r>
        <w:rPr>
          <w:sz w:val="19"/>
          <w:szCs w:val="19"/>
        </w:rPr>
        <w:t xml:space="preserve">   ·   </w:t>
      </w:r>
      <w:hyperlink w:history="1" r:id="rIdf7bmt7jvdb-rkzdphuvdg">
        <w:r>
          <w:rPr>
            <w:rStyle w:val="Hyperlink"/>
            <w:sz w:val="19"/>
            <w:szCs w:val="19"/>
          </w:rPr>
          <w:t xml:space="preserve">Origen 28/10/2026</w:t>
        </w:r>
      </w:hyperlink>
      <w:r>
        <w:rPr>
          <w:sz w:val="19"/>
          <w:szCs w:val="19"/>
        </w:rPr>
        <w:t xml:space="preserve">   ·   </w:t>
      </w:r>
      <w:hyperlink w:history="1" r:id="rIdb9_7czr1kihuc4lciitk_">
        <w:r>
          <w:rPr>
            <w:rStyle w:val="Hyperlink"/>
            <w:sz w:val="19"/>
            <w:szCs w:val="19"/>
          </w:rPr>
          <w:t xml:space="preserve">Comisión 28/10/2026</w:t>
        </w:r>
      </w:hyperlink>
      <w:r>
        <w:rPr>
          <w:sz w:val="19"/>
          <w:szCs w:val="19"/>
        </w:rPr>
        <w:t xml:space="preserve">   ·   </w:t>
      </w:r>
      <w:hyperlink w:history="1" r:id="rIdsqzroc251az1do6me82iv">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y generalidades, p. 5.</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089 de 2026 Senado</w:t>
      </w:r>
    </w:p>
    <w:p>
      <w:pPr>
        <w:keepNext/>
        <w:widowControl/>
        <w:spacing w:after="160" w:line="276"/>
      </w:pPr>
      <w:r>
        <w:rPr>
          <w:b/>
          <w:bCs/>
          <w:color w:val="000000"/>
          <w:sz w:val="24"/>
          <w:szCs w:val="24"/>
        </w:rPr>
        <w:t xml:space="preserve">Día de la Baracunatana y Anhelos · Lisandro Meza y Alfredo Gutiérrez</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Segunda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fundamenta el homenaje en el aporte de Lisandro Meza y Alfredo Gutiérrez a la música colombiana y a su proyección internacional. Invoca la competencia legislativa para reconocer ese legado cultural y apoyar su difusión, mediante conmemoraciones y las medidas de promoción previstas por la iniciativa.</w:t>
      </w:r>
    </w:p>
    <w:p>
      <w:pPr>
        <w:pStyle w:val="Heading2"/>
        <w:keepNext/>
        <w:spacing w:after="80" w:before="200"/>
      </w:pPr>
      <w:r>
        <w:t xml:space="preserve">Objeto del texto radicado</w:t>
      </w:r>
    </w:p>
    <w:p>
      <w:pPr>
        <w:widowControl/>
        <w:spacing w:after="100" w:line="276"/>
      </w:pPr>
      <w:r>
        <w:rPr>
          <w:color w:val="000000"/>
          <w:sz w:val="22"/>
          <w:szCs w:val="22"/>
        </w:rPr>
        <w:t xml:space="preserve">Homenajea a Lisandro Meza y Alfredo Gutiérrez y crea la conmemoración del 28 de noviembre. Autoriza proyectos de salón comunal, monumentos, instrumentos, alcantarillado y parques en Los Palmitos, sujetos a las reglas presupuestales.</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1378/2026 homenajea a Lisandro Meza y Alfredo Gutiérrez mediante la conmemoración del 28 de noviembre. Autoriza cofinanciación de salón comunal, monumentos, instrumentos musicales, alcantarillado de El Coley y parques rurales de Los Palmitos. El gasto está sujeto a normas y disponibilidades presupuestales; no se informa ejecución o financiación aprobada.</w:t>
      </w:r>
    </w:p>
    <w:p>
      <w:pPr>
        <w:pStyle w:val="Heading2"/>
        <w:keepNext/>
        <w:spacing w:after="80" w:before="200"/>
      </w:pPr>
      <w:r>
        <w:t xml:space="preserve">Ponentes</w:t>
      </w:r>
    </w:p>
    <w:p>
      <w:pPr>
        <w:widowControl/>
        <w:spacing w:after="100" w:line="276"/>
      </w:pPr>
      <w:r>
        <w:rPr>
          <w:color w:val="000000"/>
          <w:sz w:val="22"/>
          <w:szCs w:val="22"/>
        </w:rPr>
        <w:t xml:space="preserve">Antonio José Correa Jiménez · segundo debate en Senado.</w:t>
      </w:r>
    </w:p>
    <w:p>
      <w:pPr>
        <w:pStyle w:val="Heading2"/>
        <w:keepNext/>
        <w:spacing w:after="80" w:before="200"/>
      </w:pPr>
      <w:r>
        <w:t xml:space="preserve">Documentos oficiales</w:t>
      </w:r>
    </w:p>
    <w:p>
      <w:pPr>
        <w:widowControl/>
        <w:spacing w:after="90" w:line="252"/>
      </w:pPr>
      <w:hyperlink w:history="1" r:id="rIdqr6polamaqg7q2gpztcgq">
        <w:r>
          <w:rPr>
            <w:rStyle w:val="Hyperlink"/>
            <w:sz w:val="19"/>
            <w:szCs w:val="19"/>
          </w:rPr>
          <w:t xml:space="preserve">Orden o soporte de sesión</w:t>
        </w:r>
      </w:hyperlink>
      <w:r>
        <w:rPr>
          <w:sz w:val="19"/>
          <w:szCs w:val="19"/>
        </w:rPr>
        <w:t xml:space="preserve">   ·   </w:t>
      </w:r>
      <w:hyperlink w:history="1" r:id="rIdoucpndrdkj74brcw0qhoh">
        <w:r>
          <w:rPr>
            <w:rStyle w:val="Hyperlink"/>
            <w:sz w:val="19"/>
            <w:szCs w:val="19"/>
          </w:rPr>
          <w:t xml:space="preserve">Texto radicado</w:t>
        </w:r>
      </w:hyperlink>
      <w:r>
        <w:rPr>
          <w:sz w:val="19"/>
          <w:szCs w:val="19"/>
        </w:rPr>
        <w:t xml:space="preserve">   ·   </w:t>
      </w:r>
      <w:hyperlink w:history="1" r:id="rIdt0x4i13jex2z0xk0fs2rj">
        <w:r>
          <w:rPr>
            <w:rStyle w:val="Hyperlink"/>
            <w:sz w:val="19"/>
            <w:szCs w:val="19"/>
          </w:rPr>
          <w:t xml:space="preserve">Ponencia o soporte actual</w:t>
        </w:r>
      </w:hyperlink>
      <w:r>
        <w:rPr>
          <w:sz w:val="19"/>
          <w:szCs w:val="19"/>
        </w:rPr>
        <w:t xml:space="preserve">   ·   </w:t>
      </w:r>
      <w:hyperlink w:history="1" r:id="rIdyzuuusfnbgf4irndctgj6">
        <w:r>
          <w:rPr>
            <w:rStyle w:val="Hyperlink"/>
            <w:sz w:val="19"/>
            <w:szCs w:val="19"/>
          </w:rPr>
          <w:t xml:space="preserve">Fuente de ponentes</w:t>
        </w:r>
      </w:hyperlink>
    </w:p>
    <w:p>
      <w:pPr>
        <w:widowControl/>
        <w:spacing w:after="90" w:line="252"/>
      </w:pPr>
      <w:hyperlink w:history="1" r:id="rIdfu7vq9vqadepymd6tmgha">
        <w:r>
          <w:rPr>
            <w:rStyle w:val="Hyperlink"/>
            <w:sz w:val="19"/>
            <w:szCs w:val="19"/>
          </w:rPr>
          <w:t xml:space="preserve">Tipo de ley 28/10/2026</w:t>
        </w:r>
      </w:hyperlink>
      <w:r>
        <w:rPr>
          <w:sz w:val="19"/>
          <w:szCs w:val="19"/>
        </w:rPr>
        <w:t xml:space="preserve">   ·   </w:t>
      </w:r>
      <w:hyperlink w:history="1" r:id="rIdznx7ir7vav0mfzs7hhmwq">
        <w:r>
          <w:rPr>
            <w:rStyle w:val="Hyperlink"/>
            <w:sz w:val="19"/>
            <w:szCs w:val="19"/>
          </w:rPr>
          <w:t xml:space="preserve">Estado actual 25/10/2026</w:t>
        </w:r>
      </w:hyperlink>
      <w:r>
        <w:rPr>
          <w:sz w:val="19"/>
          <w:szCs w:val="19"/>
        </w:rPr>
        <w:t xml:space="preserve">   ·   </w:t>
      </w:r>
      <w:hyperlink w:history="1" r:id="rIdghfr3jpeszp6vc1p045jv">
        <w:r>
          <w:rPr>
            <w:rStyle w:val="Hyperlink"/>
            <w:sz w:val="19"/>
            <w:szCs w:val="19"/>
          </w:rPr>
          <w:t xml:space="preserve">Origen 28/10/2026</w:t>
        </w:r>
      </w:hyperlink>
      <w:r>
        <w:rPr>
          <w:sz w:val="19"/>
          <w:szCs w:val="19"/>
        </w:rPr>
        <w:t xml:space="preserve">   ·   </w:t>
      </w:r>
      <w:hyperlink w:history="1" r:id="rId2hocfmugdwu3cj_m7qhjs">
        <w:r>
          <w:rPr>
            <w:rStyle w:val="Hyperlink"/>
            <w:sz w:val="19"/>
            <w:szCs w:val="19"/>
          </w:rPr>
          <w:t xml:space="preserve">Comisión 28/10/2026</w:t>
        </w:r>
      </w:hyperlink>
      <w:r>
        <w:rPr>
          <w:sz w:val="19"/>
          <w:szCs w:val="19"/>
        </w:rPr>
        <w:t xml:space="preserve">   ·   </w:t>
      </w:r>
      <w:hyperlink w:history="1" r:id="rIdznwwb_nyb_wwklivk8l4k">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y fundamentos jurídicos, p. 5.</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090 de 2026 Senado</w:t>
      </w:r>
    </w:p>
    <w:p>
      <w:pPr>
        <w:keepNext/>
        <w:widowControl/>
        <w:spacing w:after="160" w:line="276"/>
      </w:pPr>
      <w:r>
        <w:rPr>
          <w:b/>
          <w:bCs/>
          <w:color w:val="000000"/>
          <w:sz w:val="24"/>
          <w:szCs w:val="24"/>
        </w:rPr>
        <w:t xml:space="preserve">Río Viejo · legado de sus cantadoras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Segunda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explica que la continuidad de la tambora y los bailes cantaos depende de las mujeres que preservan repertorios, memorias e interpretación comunitaria. Justifica el homenaje a Río Viejo y sus cantadoras junto con archivo vivo, transmisión entre generaciones, investigación y circulación cultural.</w:t>
      </w:r>
    </w:p>
    <w:p>
      <w:pPr>
        <w:pStyle w:val="Heading2"/>
        <w:keepNext/>
        <w:spacing w:after="80" w:before="200"/>
      </w:pPr>
      <w:r>
        <w:t xml:space="preserve">Objeto del texto radicado</w:t>
      </w:r>
    </w:p>
    <w:p>
      <w:pPr>
        <w:widowControl/>
        <w:spacing w:after="100" w:line="276"/>
      </w:pPr>
      <w:r>
        <w:rPr>
          <w:color w:val="000000"/>
          <w:sz w:val="22"/>
          <w:szCs w:val="22"/>
        </w:rPr>
        <w:t xml:space="preserve">Exalta a Río Viejo y a sus cantadoras; homenajea a Ana Matilde Alvarado Sajonero. Promueve documentación, archivo vivo, transmisión intergeneracional, investigación y difusión del legado, con salvaguardas para comunidad y contenidos.</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1378/2026 exalta a Río Viejo y sus cantadoras como transmisoras de tambora, bailes cantaos y tradición oral; homenajea a Ana Matilde Alvarado Sajonero. Prevé archivo vivo, formación intergeneracional, investigación y circulación, con consentimiento, atribución, protección de datos y derechos de autor. El apoyo depende de competencias y disponibilidades; no sustituye el régimen de patrimonio cultural inmaterial.</w:t>
      </w:r>
    </w:p>
    <w:p>
      <w:pPr>
        <w:pStyle w:val="Heading2"/>
        <w:keepNext/>
        <w:spacing w:after="80" w:before="200"/>
      </w:pPr>
      <w:r>
        <w:t xml:space="preserve">Ponentes</w:t>
      </w:r>
    </w:p>
    <w:p>
      <w:pPr>
        <w:widowControl/>
        <w:spacing w:after="100" w:line="276"/>
      </w:pPr>
      <w:r>
        <w:rPr>
          <w:color w:val="000000"/>
          <w:sz w:val="22"/>
          <w:szCs w:val="22"/>
        </w:rPr>
        <w:t xml:space="preserve">Antonio José Correa Jiménez · segundo debate en Senado.</w:t>
      </w:r>
    </w:p>
    <w:p>
      <w:pPr>
        <w:pStyle w:val="Heading2"/>
        <w:keepNext/>
        <w:spacing w:after="80" w:before="200"/>
      </w:pPr>
      <w:r>
        <w:t xml:space="preserve">Documentos oficiales</w:t>
      </w:r>
    </w:p>
    <w:p>
      <w:pPr>
        <w:widowControl/>
        <w:spacing w:after="90" w:line="252"/>
      </w:pPr>
      <w:hyperlink w:history="1" r:id="rIdoonpsmpqvlhvssa4-efli">
        <w:r>
          <w:rPr>
            <w:rStyle w:val="Hyperlink"/>
            <w:sz w:val="19"/>
            <w:szCs w:val="19"/>
          </w:rPr>
          <w:t xml:space="preserve">Orden o soporte de sesión</w:t>
        </w:r>
      </w:hyperlink>
      <w:r>
        <w:rPr>
          <w:sz w:val="19"/>
          <w:szCs w:val="19"/>
        </w:rPr>
        <w:t xml:space="preserve">   ·   </w:t>
      </w:r>
      <w:hyperlink w:history="1" r:id="rId2geiwg3iudvdze1vydka9">
        <w:r>
          <w:rPr>
            <w:rStyle w:val="Hyperlink"/>
            <w:sz w:val="19"/>
            <w:szCs w:val="19"/>
          </w:rPr>
          <w:t xml:space="preserve">Texto radicado</w:t>
        </w:r>
      </w:hyperlink>
      <w:r>
        <w:rPr>
          <w:sz w:val="19"/>
          <w:szCs w:val="19"/>
        </w:rPr>
        <w:t xml:space="preserve">   ·   </w:t>
      </w:r>
      <w:hyperlink w:history="1" r:id="rIdmiympbvcmq2-824ywhbrp">
        <w:r>
          <w:rPr>
            <w:rStyle w:val="Hyperlink"/>
            <w:sz w:val="19"/>
            <w:szCs w:val="19"/>
          </w:rPr>
          <w:t xml:space="preserve">Ponencia o soporte actual</w:t>
        </w:r>
      </w:hyperlink>
      <w:r>
        <w:rPr>
          <w:sz w:val="19"/>
          <w:szCs w:val="19"/>
        </w:rPr>
        <w:t xml:space="preserve">   ·   </w:t>
      </w:r>
      <w:hyperlink w:history="1" r:id="rIdfnhamnja5l-rhydf-lovm">
        <w:r>
          <w:rPr>
            <w:rStyle w:val="Hyperlink"/>
            <w:sz w:val="19"/>
            <w:szCs w:val="19"/>
          </w:rPr>
          <w:t xml:space="preserve">Fuente de ponentes</w:t>
        </w:r>
      </w:hyperlink>
    </w:p>
    <w:p>
      <w:pPr>
        <w:widowControl/>
        <w:spacing w:after="90" w:line="252"/>
      </w:pPr>
      <w:hyperlink w:history="1" r:id="rIdsje9d9mcczkkzbcryfilg">
        <w:r>
          <w:rPr>
            <w:rStyle w:val="Hyperlink"/>
            <w:sz w:val="19"/>
            <w:szCs w:val="19"/>
          </w:rPr>
          <w:t xml:space="preserve">Tipo de ley 28/10/2026</w:t>
        </w:r>
      </w:hyperlink>
      <w:r>
        <w:rPr>
          <w:sz w:val="19"/>
          <w:szCs w:val="19"/>
        </w:rPr>
        <w:t xml:space="preserve">   ·   </w:t>
      </w:r>
      <w:hyperlink w:history="1" r:id="rIdu2b64v-gxfmk9ak6pfrfu">
        <w:r>
          <w:rPr>
            <w:rStyle w:val="Hyperlink"/>
            <w:sz w:val="19"/>
            <w:szCs w:val="19"/>
          </w:rPr>
          <w:t xml:space="preserve">Estado actual 25/10/2026</w:t>
        </w:r>
      </w:hyperlink>
      <w:r>
        <w:rPr>
          <w:sz w:val="19"/>
          <w:szCs w:val="19"/>
        </w:rPr>
        <w:t xml:space="preserve">   ·   </w:t>
      </w:r>
      <w:hyperlink w:history="1" r:id="rIdgqr0_u3oxl_nrixxlvgz8">
        <w:r>
          <w:rPr>
            <w:rStyle w:val="Hyperlink"/>
            <w:sz w:val="19"/>
            <w:szCs w:val="19"/>
          </w:rPr>
          <w:t xml:space="preserve">Origen 28/10/2026</w:t>
        </w:r>
      </w:hyperlink>
      <w:r>
        <w:rPr>
          <w:sz w:val="19"/>
          <w:szCs w:val="19"/>
        </w:rPr>
        <w:t xml:space="preserve">   ·   </w:t>
      </w:r>
      <w:hyperlink w:history="1" r:id="rIda76siajplruravbcryvas">
        <w:r>
          <w:rPr>
            <w:rStyle w:val="Hyperlink"/>
            <w:sz w:val="19"/>
            <w:szCs w:val="19"/>
          </w:rPr>
          <w:t xml:space="preserve">Comisión 28/10/2026</w:t>
        </w:r>
      </w:hyperlink>
      <w:r>
        <w:rPr>
          <w:sz w:val="19"/>
          <w:szCs w:val="19"/>
        </w:rPr>
        <w:t xml:space="preserve">   ·   </w:t>
      </w:r>
      <w:hyperlink w:history="1" r:id="rId7bn0nqvw9agkfyjtmpyai">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presentación y fundamentos, p. 2.</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322 de 2025 Senado – 107 de 2025 Cámara</w:t>
      </w:r>
    </w:p>
    <w:p>
      <w:pPr>
        <w:keepNext/>
        <w:widowControl/>
        <w:spacing w:after="160" w:line="276"/>
      </w:pPr>
      <w:r>
        <w:rPr>
          <w:b/>
          <w:bCs/>
          <w:color w:val="000000"/>
          <w:sz w:val="24"/>
          <w:szCs w:val="24"/>
        </w:rPr>
        <w:t xml:space="preserve">Pueblo Viejo, Magdalena · quinientos años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cuarto debate del trámite ordinario.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Cámara de Representantes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Segunda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vincula los quinientos años de Puebloviejo con el reconocimiento de su importancia histórica, cultural y ambiental y con necesidades de servicios, infraestructura y diversificación económica. Justifica asociar la conmemoración a memoria histórica e inversiones que apoyen su desarrollo integral, sujetas a las reglas presupuestales de la iniciativa.</w:t>
      </w:r>
    </w:p>
    <w:p>
      <w:pPr>
        <w:pStyle w:val="Heading2"/>
        <w:keepNext/>
        <w:spacing w:after="80" w:before="200"/>
      </w:pPr>
      <w:r>
        <w:t xml:space="preserve">Objeto del texto radicado</w:t>
      </w:r>
    </w:p>
    <w:p>
      <w:pPr>
        <w:widowControl/>
        <w:spacing w:after="100" w:line="276"/>
      </w:pPr>
      <w:r>
        <w:rPr>
          <w:color w:val="000000"/>
          <w:sz w:val="22"/>
          <w:szCs w:val="22"/>
        </w:rPr>
        <w:t xml:space="preserve">Gaceta 1331 del 8/08/2025, pp. 19–22: PL 107/2025 Cámara. Conmemora los 500 años de Puebloviejo, autoriza actos e inversiones culturales, turísticas, productivas y de servicios públicos, y difusión de memoria histórica. El gasto depende de disponibilidad presupuestal.</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1415/2026, reasignada a Honorio Miguel Henríquez Pinedo, propone conmemoración, reconocimiento institucional, difusión de memoria y autorizaciones para infraestructura, patrimonio, pesca artesanal, sal marina, servicios básicos y turismo sostenible. Confirma aprobación previa en Cámara el 4/11/2025 y primer debate en Senado el 16/12/2025: corresponde al cuarto debate del trámite ordinario, segundo en Senado. La financiación no es automática.</w:t>
      </w:r>
    </w:p>
    <w:p>
      <w:pPr>
        <w:pStyle w:val="Heading2"/>
        <w:keepNext/>
        <w:spacing w:after="80" w:before="200"/>
      </w:pPr>
      <w:r>
        <w:t xml:space="preserve">Ponentes</w:t>
      </w:r>
    </w:p>
    <w:p>
      <w:pPr>
        <w:widowControl/>
        <w:spacing w:after="100" w:line="276"/>
      </w:pPr>
      <w:r>
        <w:rPr>
          <w:color w:val="000000"/>
          <w:sz w:val="22"/>
          <w:szCs w:val="22"/>
        </w:rPr>
        <w:t xml:space="preserve">Honorio Miguel Henríquez Pinedo · segundo debate en Senado.</w:t>
      </w:r>
    </w:p>
    <w:p>
      <w:pPr>
        <w:pStyle w:val="Heading2"/>
        <w:keepNext/>
        <w:spacing w:after="80" w:before="200"/>
      </w:pPr>
      <w:r>
        <w:t xml:space="preserve">Documentos oficiales</w:t>
      </w:r>
    </w:p>
    <w:p>
      <w:pPr>
        <w:widowControl/>
        <w:spacing w:after="90" w:line="252"/>
      </w:pPr>
      <w:hyperlink w:history="1" r:id="rId7du9udolvlpwps02ukhvg">
        <w:r>
          <w:rPr>
            <w:rStyle w:val="Hyperlink"/>
            <w:sz w:val="19"/>
            <w:szCs w:val="19"/>
          </w:rPr>
          <w:t xml:space="preserve">Orden o soporte de sesión</w:t>
        </w:r>
      </w:hyperlink>
      <w:r>
        <w:rPr>
          <w:sz w:val="19"/>
          <w:szCs w:val="19"/>
        </w:rPr>
        <w:t xml:space="preserve">   ·   </w:t>
      </w:r>
      <w:hyperlink w:history="1" r:id="rIdhuzh8isprnktfv6bcw1af">
        <w:r>
          <w:rPr>
            <w:rStyle w:val="Hyperlink"/>
            <w:sz w:val="19"/>
            <w:szCs w:val="19"/>
          </w:rPr>
          <w:t xml:space="preserve">Texto radicado</w:t>
        </w:r>
      </w:hyperlink>
      <w:r>
        <w:rPr>
          <w:sz w:val="19"/>
          <w:szCs w:val="19"/>
        </w:rPr>
        <w:t xml:space="preserve">   ·   </w:t>
      </w:r>
      <w:hyperlink w:history="1" r:id="rIdeaqug2o8_uoksqesmke45">
        <w:r>
          <w:rPr>
            <w:rStyle w:val="Hyperlink"/>
            <w:sz w:val="19"/>
            <w:szCs w:val="19"/>
          </w:rPr>
          <w:t xml:space="preserve">Ponencia o soporte actual</w:t>
        </w:r>
      </w:hyperlink>
      <w:r>
        <w:rPr>
          <w:sz w:val="19"/>
          <w:szCs w:val="19"/>
        </w:rPr>
        <w:t xml:space="preserve">   ·   </w:t>
      </w:r>
      <w:hyperlink w:history="1" r:id="rId2ujsshfap-s6dasmaqzac">
        <w:r>
          <w:rPr>
            <w:rStyle w:val="Hyperlink"/>
            <w:sz w:val="19"/>
            <w:szCs w:val="19"/>
          </w:rPr>
          <w:t xml:space="preserve">Fuente de ponentes</w:t>
        </w:r>
      </w:hyperlink>
    </w:p>
    <w:p>
      <w:pPr>
        <w:widowControl/>
        <w:spacing w:after="90" w:line="252"/>
      </w:pPr>
      <w:hyperlink w:history="1" r:id="rIdctaznkavhomuq1-5yxt8a">
        <w:r>
          <w:rPr>
            <w:rStyle w:val="Hyperlink"/>
            <w:sz w:val="19"/>
            <w:szCs w:val="19"/>
          </w:rPr>
          <w:t xml:space="preserve">Tipo de ley 28/10/2026</w:t>
        </w:r>
      </w:hyperlink>
      <w:r>
        <w:rPr>
          <w:sz w:val="19"/>
          <w:szCs w:val="19"/>
        </w:rPr>
        <w:t xml:space="preserve">   ·   </w:t>
      </w:r>
      <w:hyperlink w:history="1" r:id="rIdi3ryekl4ihz4t4dkl767f">
        <w:r>
          <w:rPr>
            <w:rStyle w:val="Hyperlink"/>
            <w:sz w:val="19"/>
            <w:szCs w:val="19"/>
          </w:rPr>
          <w:t xml:space="preserve">Estado actual 25/10/2026</w:t>
        </w:r>
      </w:hyperlink>
      <w:r>
        <w:rPr>
          <w:sz w:val="19"/>
          <w:szCs w:val="19"/>
        </w:rPr>
        <w:t xml:space="preserve">   ·   </w:t>
      </w:r>
      <w:hyperlink w:history="1" r:id="rIdh8u8xkzbwsssurcrazvk-">
        <w:r>
          <w:rPr>
            <w:rStyle w:val="Hyperlink"/>
            <w:sz w:val="19"/>
            <w:szCs w:val="19"/>
          </w:rPr>
          <w:t xml:space="preserve">Origen 28/10/2026</w:t>
        </w:r>
      </w:hyperlink>
      <w:r>
        <w:rPr>
          <w:sz w:val="19"/>
          <w:szCs w:val="19"/>
        </w:rPr>
        <w:t xml:space="preserve">   ·   </w:t>
      </w:r>
      <w:hyperlink w:history="1" r:id="rId1p9vtzdfhzchxvncuspgk">
        <w:r>
          <w:rPr>
            <w:rStyle w:val="Hyperlink"/>
            <w:sz w:val="19"/>
            <w:szCs w:val="19"/>
          </w:rPr>
          <w:t xml:space="preserve">Comisión 28/10/2026</w:t>
        </w:r>
      </w:hyperlink>
      <w:r>
        <w:rPr>
          <w:sz w:val="19"/>
          <w:szCs w:val="19"/>
        </w:rPr>
        <w:t xml:space="preserve">   ·   </w:t>
      </w:r>
      <w:hyperlink w:history="1" r:id="rIdpbhrri0o0xtm2hphruoeo">
        <w:r>
          <w:rPr>
            <w:rStyle w:val="Hyperlink"/>
            <w:sz w:val="19"/>
            <w:szCs w:val="19"/>
          </w:rPr>
          <w:t xml:space="preserve">Breve exposición de motivos 28/10/2026</w:t>
        </w:r>
      </w:hyperlink>
    </w:p>
    <w:p>
      <w:pPr>
        <w:widowControl/>
        <w:spacing w:after="80" w:line="276"/>
      </w:pPr>
      <w:r>
        <w:rPr>
          <w:color w:val="000000"/>
          <w:sz w:val="19"/>
          <w:szCs w:val="19"/>
        </w:rPr>
        <w:t xml:space="preserve">Texto radicado publicado en Gaceta 1331 del 08/08/2025, exposición de motivos y justificación, pp. 19–20.</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1"/>
        <w:keepNext/>
        <w:spacing w:after="160" w:before="340"/>
      </w:pPr>
      <w:r>
        <w:t xml:space="preserve">Comisión Tercera del Senado</w:t>
      </w:r>
    </w:p>
    <w:p>
      <w:pPr>
        <w:pStyle w:val="Heading2"/>
        <w:keepNext/>
        <w:spacing w:after="120" w:before="280"/>
      </w:pPr>
      <w:r>
        <w:t xml:space="preserve">PL 206 de 2025 Senado</w:t>
      </w:r>
    </w:p>
    <w:p>
      <w:pPr>
        <w:keepNext/>
        <w:widowControl/>
        <w:spacing w:after="160" w:line="276"/>
      </w:pPr>
      <w:r>
        <w:rPr>
          <w:b/>
          <w:bCs/>
          <w:color w:val="000000"/>
          <w:sz w:val="24"/>
          <w:szCs w:val="24"/>
        </w:rPr>
        <w:t xml:space="preserve">Mejoramiento integral de asentamientos y prevención del loteo ilegal</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Tercera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Los autores relacionan la expansión de asentamientos informales con el crecimiento desordenado de las periferias y con dificultades para actualizar los planes de ordenamiento territorial, incluidos los costos de estudios de riesgo. Justifican instrumentos de legalización y mejoramiento del hábitat para facilitar acceso a vivienda y servicios y atender esas barreras; son razones expuestas por la iniciativa.</w:t>
      </w:r>
    </w:p>
    <w:p>
      <w:pPr>
        <w:pStyle w:val="Heading2"/>
        <w:keepNext/>
        <w:spacing w:after="80" w:before="200"/>
      </w:pPr>
      <w:r>
        <w:t xml:space="preserve">Objeto del texto radicado</w:t>
      </w:r>
    </w:p>
    <w:p>
      <w:pPr>
        <w:widowControl/>
        <w:spacing w:after="100" w:line="276"/>
      </w:pPr>
      <w:r>
        <w:rPr>
          <w:color w:val="000000"/>
          <w:sz w:val="22"/>
          <w:szCs w:val="22"/>
        </w:rPr>
        <w:t xml:space="preserve">Gaceta 1677 del 11/09/2025, pp. 10–25: PL 206/2025 Senado. Regula mejoramiento y legalización de asentamientos rurales y de expansión, ajuste del POT, gestión de hábitat, vivienda cooperativa, financiación y control de especulación y loteo ilegal; exige condiciones de riesgo y ambiente.</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1176/2026 regula legalización y mejoramiento de asentamientos en suelo urbano, rural y de expansión, gestión de hábitat, ajuste excepcional del POT, vivienda cooperativa y financiación. Modifica mecanismos ambientales y de ordenamiento y fortalece control del loteo ilegal y la especulación. Contiene condiciones sociales, de servicios, riesgo y protección ambiental; no legaliza automáticamente cualquier asentamiento. El original del portal conserva encabezados de 2024; se contrastó la edición original 1677/2025, que identifica PL 206/2025.</w:t>
      </w:r>
    </w:p>
    <w:p>
      <w:pPr>
        <w:pStyle w:val="Heading2"/>
        <w:keepNext/>
        <w:spacing w:after="80" w:before="200"/>
      </w:pPr>
      <w:r>
        <w:t xml:space="preserve">Ponentes</w:t>
      </w:r>
    </w:p>
    <w:p>
      <w:pPr>
        <w:widowControl/>
        <w:spacing w:after="100" w:line="276"/>
      </w:pPr>
      <w:r>
        <w:rPr>
          <w:color w:val="000000"/>
          <w:sz w:val="22"/>
          <w:szCs w:val="22"/>
        </w:rPr>
        <w:t xml:space="preserve">Martín Alonso Caicedo Carabalí · segundo debate en Senado.</w:t>
      </w:r>
    </w:p>
    <w:p>
      <w:pPr>
        <w:pStyle w:val="Heading2"/>
        <w:keepNext/>
        <w:spacing w:after="80" w:before="200"/>
      </w:pPr>
      <w:r>
        <w:t xml:space="preserve">Documentos oficiales</w:t>
      </w:r>
    </w:p>
    <w:p>
      <w:pPr>
        <w:widowControl/>
        <w:spacing w:after="90" w:line="252"/>
      </w:pPr>
      <w:hyperlink w:history="1" r:id="rIdpdfkcpcvuwiqqm1y7eiej">
        <w:r>
          <w:rPr>
            <w:rStyle w:val="Hyperlink"/>
            <w:sz w:val="19"/>
            <w:szCs w:val="19"/>
          </w:rPr>
          <w:t xml:space="preserve">Orden o soporte de sesión</w:t>
        </w:r>
      </w:hyperlink>
      <w:r>
        <w:rPr>
          <w:sz w:val="19"/>
          <w:szCs w:val="19"/>
        </w:rPr>
        <w:t xml:space="preserve">   ·   </w:t>
      </w:r>
      <w:hyperlink w:history="1" r:id="rIdh0c93jplmz8javgeiwwdd">
        <w:r>
          <w:rPr>
            <w:rStyle w:val="Hyperlink"/>
            <w:sz w:val="19"/>
            <w:szCs w:val="19"/>
          </w:rPr>
          <w:t xml:space="preserve">Texto radicado</w:t>
        </w:r>
      </w:hyperlink>
      <w:r>
        <w:rPr>
          <w:sz w:val="19"/>
          <w:szCs w:val="19"/>
        </w:rPr>
        <w:t xml:space="preserve">   ·   </w:t>
      </w:r>
      <w:hyperlink w:history="1" r:id="rIdpsmarczcmtr21kkefmwze">
        <w:r>
          <w:rPr>
            <w:rStyle w:val="Hyperlink"/>
            <w:sz w:val="19"/>
            <w:szCs w:val="19"/>
          </w:rPr>
          <w:t xml:space="preserve">Ponencia o soporte actual</w:t>
        </w:r>
      </w:hyperlink>
      <w:r>
        <w:rPr>
          <w:sz w:val="19"/>
          <w:szCs w:val="19"/>
        </w:rPr>
        <w:t xml:space="preserve">   ·   </w:t>
      </w:r>
      <w:hyperlink w:history="1" r:id="rIddjee7hi_jfzooqequkjqd">
        <w:r>
          <w:rPr>
            <w:rStyle w:val="Hyperlink"/>
            <w:sz w:val="19"/>
            <w:szCs w:val="19"/>
          </w:rPr>
          <w:t xml:space="preserve">Fuente de ponentes</w:t>
        </w:r>
      </w:hyperlink>
    </w:p>
    <w:p>
      <w:pPr>
        <w:widowControl/>
        <w:spacing w:after="90" w:line="252"/>
      </w:pPr>
      <w:hyperlink w:history="1" r:id="rIdqjmpkmt0z6qvxcom9-hud">
        <w:r>
          <w:rPr>
            <w:rStyle w:val="Hyperlink"/>
            <w:sz w:val="19"/>
            <w:szCs w:val="19"/>
          </w:rPr>
          <w:t xml:space="preserve">Tipo de ley 28/10/2026</w:t>
        </w:r>
      </w:hyperlink>
      <w:r>
        <w:rPr>
          <w:sz w:val="19"/>
          <w:szCs w:val="19"/>
        </w:rPr>
        <w:t xml:space="preserve">   ·   </w:t>
      </w:r>
      <w:hyperlink w:history="1" r:id="rIdzsvplox5ckj6wrprtbmk0">
        <w:r>
          <w:rPr>
            <w:rStyle w:val="Hyperlink"/>
            <w:sz w:val="19"/>
            <w:szCs w:val="19"/>
          </w:rPr>
          <w:t xml:space="preserve">Estado actual 25/10/2026</w:t>
        </w:r>
      </w:hyperlink>
      <w:r>
        <w:rPr>
          <w:sz w:val="19"/>
          <w:szCs w:val="19"/>
        </w:rPr>
        <w:t xml:space="preserve">   ·   </w:t>
      </w:r>
      <w:hyperlink w:history="1" r:id="rIdq_5fp0llcyeysi7r9fi4j">
        <w:r>
          <w:rPr>
            <w:rStyle w:val="Hyperlink"/>
            <w:sz w:val="19"/>
            <w:szCs w:val="19"/>
          </w:rPr>
          <w:t xml:space="preserve">Origen 28/10/2026</w:t>
        </w:r>
      </w:hyperlink>
      <w:r>
        <w:rPr>
          <w:sz w:val="19"/>
          <w:szCs w:val="19"/>
        </w:rPr>
        <w:t xml:space="preserve">   ·   </w:t>
      </w:r>
      <w:hyperlink w:history="1" r:id="rIdk9w2dv0bw3zbstqmt35sa">
        <w:r>
          <w:rPr>
            <w:rStyle w:val="Hyperlink"/>
            <w:sz w:val="19"/>
            <w:szCs w:val="19"/>
          </w:rPr>
          <w:t xml:space="preserve">Comisión 28/10/2026</w:t>
        </w:r>
      </w:hyperlink>
      <w:r>
        <w:rPr>
          <w:sz w:val="19"/>
          <w:szCs w:val="19"/>
        </w:rPr>
        <w:t xml:space="preserve">   ·   </w:t>
      </w:r>
      <w:hyperlink w:history="1" r:id="rIdmdi1crfhsug4mliymugak">
        <w:r>
          <w:rPr>
            <w:rStyle w:val="Hyperlink"/>
            <w:sz w:val="19"/>
            <w:szCs w:val="19"/>
          </w:rPr>
          <w:t xml:space="preserve">Breve exposición de motivos 28/10/2026</w:t>
        </w:r>
      </w:hyperlink>
    </w:p>
    <w:p>
      <w:pPr>
        <w:widowControl/>
        <w:spacing w:after="80" w:line="276"/>
      </w:pPr>
      <w:r>
        <w:rPr>
          <w:color w:val="000000"/>
          <w:sz w:val="19"/>
          <w:szCs w:val="19"/>
        </w:rPr>
        <w:t xml:space="preserve">Texto radicado publicado en Gaceta 1677 del 11/09/2025, Exposición de motivos, objeto y justificación, p. 15.</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1"/>
        <w:keepNext/>
        <w:spacing w:after="160" w:before="340"/>
      </w:pPr>
      <w:r>
        <w:t xml:space="preserve">Comisión Sexta del Senado</w:t>
      </w:r>
    </w:p>
    <w:p>
      <w:pPr>
        <w:pStyle w:val="Heading2"/>
        <w:keepNext/>
        <w:spacing w:after="120" w:before="280"/>
      </w:pPr>
      <w:r>
        <w:t xml:space="preserve">PL 113 de 2026 Senado</w:t>
      </w:r>
    </w:p>
    <w:p>
      <w:pPr>
        <w:keepNext/>
        <w:widowControl/>
        <w:spacing w:after="160" w:line="276"/>
      </w:pPr>
      <w:r>
        <w:rPr>
          <w:b/>
          <w:bCs/>
          <w:color w:val="000000"/>
          <w:sz w:val="24"/>
          <w:szCs w:val="24"/>
        </w:rPr>
        <w:t xml:space="preserve">Política pública de formación por ciclos cortos tecnológicos para la empleabilidad</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ponencia positiva, Gaceta 1382/2026.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Sexta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identifica una brecha entre las competencias de los egresados y las que demanda el mercado laboral, especialmente en tecnología, junto con desempleo juvenil y deserción. Justifica programas cortos, modulares y acumulables como una vía de formación flexible y actualización de capacidades para facilitar la inserción laboral.</w:t>
      </w:r>
    </w:p>
    <w:p>
      <w:pPr>
        <w:pStyle w:val="Heading2"/>
        <w:keepNext/>
        <w:spacing w:after="80" w:before="200"/>
      </w:pPr>
      <w:r>
        <w:t xml:space="preserve">Objeto del texto radicado</w:t>
      </w:r>
    </w:p>
    <w:p>
      <w:pPr>
        <w:widowControl/>
        <w:spacing w:after="100" w:line="276"/>
      </w:pPr>
      <w:r>
        <w:rPr>
          <w:color w:val="000000"/>
          <w:sz w:val="22"/>
          <w:szCs w:val="22"/>
        </w:rPr>
        <w:t xml:space="preserve">Propone formación modular de 3 a 12 meses en habilidades tecnológicas, articulada con educación media y SENA, para facilitar el empleo. Incluye 100.000 cupos anuales y apoyos de conectividad, Renta Joven y emprendimiento. Es el texto inicial; la ponencia contiene modificaciones posteriores.</w:t>
      </w:r>
    </w:p>
    <w:p>
      <w:pPr>
        <w:pStyle w:val="Heading2"/>
        <w:keepNext/>
        <w:spacing w:after="80" w:before="200"/>
      </w:pPr>
      <w:r>
        <w:t xml:space="preserve">Análisis del soporte actual</w:t>
      </w:r>
    </w:p>
    <w:p>
      <w:pPr>
        <w:widowControl/>
        <w:spacing w:after="100" w:line="276"/>
      </w:pPr>
      <w:r>
        <w:rPr>
          <w:color w:val="000000"/>
          <w:sz w:val="22"/>
          <w:szCs w:val="22"/>
        </w:rPr>
        <w:t xml:space="preserve">El texto propuesto para segundo debate crea una política pública para regular, promover e implementar formación modular y acumulable de tres a doce meses, orientada a habilidades tecnológicas e inserción laboral. Prevé articulación con educación media, programas de mayor duración y SENA; prioriza software, inteligencia artificial, datos y otras áreas digitales. Contempla cien mil cupos anuales, posibles subsidios de conectividad y Renta Joven sujetos a disponibilidad presupuestal, intermediación laboral y apoyo al emprendimiento.</w:t>
      </w:r>
    </w:p>
    <w:p>
      <w:pPr>
        <w:widowControl/>
        <w:spacing w:after="100" w:line="276"/>
      </w:pPr>
      <w:r>
        <w:rPr>
          <w:color w:val="000000"/>
          <w:sz w:val="22"/>
          <w:szCs w:val="22"/>
        </w:rPr>
        <w:t xml:space="preserve">Distingue reconocimiento de aprendizajes de expedición de títulos: la acumulación de ciclos no otorga por sí sola títulos de otro nivel ni sustituye requisitos académicos y de calidad. Ponente: Julia Correa Nuttin. Número de Cámara no indicado en el orden ni en la ponencia. El orden acredita la previsión de segundo debate, no su aprobación.</w:t>
      </w:r>
    </w:p>
    <w:p>
      <w:pPr>
        <w:pStyle w:val="Heading2"/>
        <w:keepNext/>
        <w:spacing w:after="80" w:before="200"/>
      </w:pPr>
      <w:r>
        <w:t xml:space="preserve">Ponentes</w:t>
      </w:r>
    </w:p>
    <w:p>
      <w:pPr>
        <w:widowControl/>
        <w:spacing w:after="100" w:line="276"/>
      </w:pPr>
      <w:r>
        <w:rPr>
          <w:color w:val="000000"/>
          <w:sz w:val="22"/>
          <w:szCs w:val="22"/>
        </w:rPr>
        <w:t xml:space="preserve">Julia Correa Nuttin · ponente para segundo debate en Senado.</w:t>
      </w:r>
    </w:p>
    <w:p>
      <w:pPr>
        <w:pStyle w:val="Heading2"/>
        <w:keepNext/>
        <w:spacing w:after="80" w:before="200"/>
      </w:pPr>
      <w:r>
        <w:t xml:space="preserve">Documentos oficiales</w:t>
      </w:r>
    </w:p>
    <w:p>
      <w:pPr>
        <w:widowControl/>
        <w:spacing w:after="90" w:line="252"/>
      </w:pPr>
      <w:hyperlink w:history="1" r:id="rIdfqtruekbtq70wfig1qr_q">
        <w:r>
          <w:rPr>
            <w:rStyle w:val="Hyperlink"/>
            <w:sz w:val="19"/>
            <w:szCs w:val="19"/>
          </w:rPr>
          <w:t xml:space="preserve">Orden o soporte de sesión</w:t>
        </w:r>
      </w:hyperlink>
      <w:r>
        <w:rPr>
          <w:sz w:val="19"/>
          <w:szCs w:val="19"/>
        </w:rPr>
        <w:t xml:space="preserve">   ·   </w:t>
      </w:r>
      <w:hyperlink w:history="1" r:id="rIdmkfuizuphawynseqvqmlq">
        <w:r>
          <w:rPr>
            <w:rStyle w:val="Hyperlink"/>
            <w:sz w:val="19"/>
            <w:szCs w:val="19"/>
          </w:rPr>
          <w:t xml:space="preserve">Texto radicado</w:t>
        </w:r>
      </w:hyperlink>
      <w:r>
        <w:rPr>
          <w:sz w:val="19"/>
          <w:szCs w:val="19"/>
        </w:rPr>
        <w:t xml:space="preserve">   ·   </w:t>
      </w:r>
      <w:hyperlink w:history="1" r:id="rIdtwlywdhfjrimzwga8mwmj">
        <w:r>
          <w:rPr>
            <w:rStyle w:val="Hyperlink"/>
            <w:sz w:val="19"/>
            <w:szCs w:val="19"/>
          </w:rPr>
          <w:t xml:space="preserve">Ponencia o soporte actual</w:t>
        </w:r>
      </w:hyperlink>
      <w:r>
        <w:rPr>
          <w:sz w:val="19"/>
          <w:szCs w:val="19"/>
        </w:rPr>
        <w:t xml:space="preserve">   ·   </w:t>
      </w:r>
      <w:hyperlink w:history="1" r:id="rIdau8htpwl7ttt_6eo7brab">
        <w:r>
          <w:rPr>
            <w:rStyle w:val="Hyperlink"/>
            <w:sz w:val="19"/>
            <w:szCs w:val="19"/>
          </w:rPr>
          <w:t xml:space="preserve">Fuente de ponentes</w:t>
        </w:r>
      </w:hyperlink>
    </w:p>
    <w:p>
      <w:pPr>
        <w:widowControl/>
        <w:spacing w:after="90" w:line="252"/>
      </w:pPr>
      <w:hyperlink w:history="1" r:id="rIduruxlw-t8u-ddkauqob7p">
        <w:r>
          <w:rPr>
            <w:rStyle w:val="Hyperlink"/>
            <w:sz w:val="19"/>
            <w:szCs w:val="19"/>
          </w:rPr>
          <w:t xml:space="preserve">Tipo de ley 28/10/2026</w:t>
        </w:r>
      </w:hyperlink>
      <w:r>
        <w:rPr>
          <w:sz w:val="19"/>
          <w:szCs w:val="19"/>
        </w:rPr>
        <w:t xml:space="preserve">   ·   </w:t>
      </w:r>
      <w:hyperlink w:history="1" r:id="rId4vlyux7ohrshef11chbuw">
        <w:r>
          <w:rPr>
            <w:rStyle w:val="Hyperlink"/>
            <w:sz w:val="19"/>
            <w:szCs w:val="19"/>
          </w:rPr>
          <w:t xml:space="preserve">Estado actual 25/10/2026</w:t>
        </w:r>
      </w:hyperlink>
      <w:r>
        <w:rPr>
          <w:sz w:val="19"/>
          <w:szCs w:val="19"/>
        </w:rPr>
        <w:t xml:space="preserve">   ·   </w:t>
      </w:r>
      <w:hyperlink w:history="1" r:id="rId3i711miryqmcwadvy09nd">
        <w:r>
          <w:rPr>
            <w:rStyle w:val="Hyperlink"/>
            <w:sz w:val="19"/>
            <w:szCs w:val="19"/>
          </w:rPr>
          <w:t xml:space="preserve">Origen 28/10/2026</w:t>
        </w:r>
      </w:hyperlink>
      <w:r>
        <w:rPr>
          <w:sz w:val="19"/>
          <w:szCs w:val="19"/>
        </w:rPr>
        <w:t xml:space="preserve">   ·   </w:t>
      </w:r>
      <w:hyperlink w:history="1" r:id="rIds2rombllvflr5p0gzqcxk">
        <w:r>
          <w:rPr>
            <w:rStyle w:val="Hyperlink"/>
            <w:sz w:val="19"/>
            <w:szCs w:val="19"/>
          </w:rPr>
          <w:t xml:space="preserve">Comisión 28/10/2026</w:t>
        </w:r>
      </w:hyperlink>
      <w:r>
        <w:rPr>
          <w:sz w:val="19"/>
          <w:szCs w:val="19"/>
        </w:rPr>
        <w:t xml:space="preserve">   ·   </w:t>
      </w:r>
      <w:hyperlink w:history="1" r:id="rIdd3mezgglxghwomohvrs3q">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objeto y justificación, p. 5.</w:t>
      </w:r>
    </w:p>
    <w:p>
      <w:pPr>
        <w:widowControl/>
        <w:spacing w:after="120" w:line="276"/>
      </w:pPr>
      <w:r>
        <w:rPr>
          <w:color w:val="000000"/>
          <w:sz w:val="18"/>
          <w:szCs w:val="18"/>
        </w:rPr>
        <w:t xml:space="preserve">Contenido de la sesión verificado el 25 de octubre de 2026. Texto radicado verificado el 20 de octubre de 2026.</w:t>
      </w:r>
    </w:p>
    <w:p>
      <w:pPr>
        <w:pStyle w:val="Heading2"/>
        <w:keepNext/>
        <w:spacing w:after="120" w:before="280"/>
      </w:pPr>
      <w:r>
        <w:t xml:space="preserve">PL 119 de 2025 Senado</w:t>
      </w:r>
    </w:p>
    <w:p>
      <w:pPr>
        <w:keepNext/>
        <w:widowControl/>
        <w:spacing w:after="160" w:line="276"/>
      </w:pPr>
      <w:r>
        <w:rPr>
          <w:b/>
          <w:bCs/>
          <w:color w:val="000000"/>
          <w:sz w:val="24"/>
          <w:szCs w:val="24"/>
        </w:rPr>
        <w:t xml:space="preserve">Reconexión de servicios públicos residenciales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Sexta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El autor sostiene que el cobro de reconexión puede convertirse en una barrera adicional para hogares de bajos ingresos que ya pagaron sus facturas atrasadas. La propuesta busca facilitar el restablecimiento de servicios esenciales y evitar costos desproporcionados, con énfasis en la vulnerabilidad económica y habitacional de los estratos 1, 2 y 3.</w:t>
      </w:r>
    </w:p>
    <w:p>
      <w:pPr>
        <w:pStyle w:val="Heading2"/>
        <w:keepNext/>
        <w:spacing w:after="80" w:before="200"/>
      </w:pPr>
      <w:r>
        <w:t xml:space="preserve">Objeto del texto radicado</w:t>
      </w:r>
    </w:p>
    <w:p>
      <w:pPr>
        <w:widowControl/>
        <w:spacing w:after="100" w:line="276"/>
      </w:pPr>
      <w:r>
        <w:rPr>
          <w:color w:val="000000"/>
          <w:sz w:val="22"/>
          <w:szCs w:val="22"/>
        </w:rPr>
        <w:t xml:space="preserve">Añade el artículo 142A a la Ley 142 de 1994: reconexión sin cargo para estratos 1, 2 y 3 ante mora subsanada por pago o acuerdo, plazo de 24 horas y vigilancia de Superservicios. Exceptúa fraude, manipulación de redes y daño doloso.</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2193/2025 propone un régimen especial para usuarios residenciales de estratos 1, 2 y 3: reconexión o reinstalación sin cobro cuando la suspensión se deba exclusivamente a mora subsanada mediante pago o acuerdo. Restablecimiento máximo en 24 horas; vigilancia de Superservicios. Conserva cobro por fraude, manipulación de redes o daño doloso. No elimina la deuda por consumo ni toda causal de cobro.</w:t>
      </w:r>
    </w:p>
    <w:p>
      <w:pPr>
        <w:pStyle w:val="Heading2"/>
        <w:keepNext/>
        <w:spacing w:after="80" w:before="200"/>
      </w:pPr>
      <w:r>
        <w:t xml:space="preserve">Ponentes</w:t>
      </w:r>
    </w:p>
    <w:p>
      <w:pPr>
        <w:widowControl/>
        <w:spacing w:after="100" w:line="276"/>
      </w:pPr>
      <w:r>
        <w:rPr>
          <w:color w:val="000000"/>
          <w:sz w:val="22"/>
          <w:szCs w:val="22"/>
        </w:rPr>
        <w:t xml:space="preserve">Gustavo Adolfo Moreno Hurtado · segundo debate en Senado.</w:t>
      </w:r>
    </w:p>
    <w:p>
      <w:pPr>
        <w:pStyle w:val="Heading2"/>
        <w:keepNext/>
        <w:spacing w:after="80" w:before="200"/>
      </w:pPr>
      <w:r>
        <w:t xml:space="preserve">Documentos oficiales</w:t>
      </w:r>
    </w:p>
    <w:p>
      <w:pPr>
        <w:widowControl/>
        <w:spacing w:after="90" w:line="252"/>
      </w:pPr>
      <w:hyperlink w:history="1" r:id="rIdkwzqlyl0vkgbcqwi6y0bw">
        <w:r>
          <w:rPr>
            <w:rStyle w:val="Hyperlink"/>
            <w:sz w:val="19"/>
            <w:szCs w:val="19"/>
          </w:rPr>
          <w:t xml:space="preserve">Orden o soporte de sesión</w:t>
        </w:r>
      </w:hyperlink>
      <w:r>
        <w:rPr>
          <w:sz w:val="19"/>
          <w:szCs w:val="19"/>
        </w:rPr>
        <w:t xml:space="preserve">   ·   </w:t>
      </w:r>
      <w:hyperlink w:history="1" r:id="rIdlwy1pqqoy8jwibre1sabq">
        <w:r>
          <w:rPr>
            <w:rStyle w:val="Hyperlink"/>
            <w:sz w:val="19"/>
            <w:szCs w:val="19"/>
          </w:rPr>
          <w:t xml:space="preserve">Texto radicado</w:t>
        </w:r>
      </w:hyperlink>
      <w:r>
        <w:rPr>
          <w:sz w:val="19"/>
          <w:szCs w:val="19"/>
        </w:rPr>
        <w:t xml:space="preserve">   ·   </w:t>
      </w:r>
      <w:hyperlink w:history="1" r:id="rIdaz0n1guqn47tcmnp8vnzh">
        <w:r>
          <w:rPr>
            <w:rStyle w:val="Hyperlink"/>
            <w:sz w:val="19"/>
            <w:szCs w:val="19"/>
          </w:rPr>
          <w:t xml:space="preserve">Ponencia o soporte actual</w:t>
        </w:r>
      </w:hyperlink>
      <w:r>
        <w:rPr>
          <w:sz w:val="19"/>
          <w:szCs w:val="19"/>
        </w:rPr>
        <w:t xml:space="preserve">   ·   </w:t>
      </w:r>
      <w:hyperlink w:history="1" r:id="rIdgi4ki_tchr-gkpjo-zonm">
        <w:r>
          <w:rPr>
            <w:rStyle w:val="Hyperlink"/>
            <w:sz w:val="19"/>
            <w:szCs w:val="19"/>
          </w:rPr>
          <w:t xml:space="preserve">Fuente de ponentes</w:t>
        </w:r>
      </w:hyperlink>
    </w:p>
    <w:p>
      <w:pPr>
        <w:widowControl/>
        <w:spacing w:after="90" w:line="252"/>
      </w:pPr>
      <w:hyperlink w:history="1" r:id="rIdixrozed3vfgvbk4cueleo">
        <w:r>
          <w:rPr>
            <w:rStyle w:val="Hyperlink"/>
            <w:sz w:val="19"/>
            <w:szCs w:val="19"/>
          </w:rPr>
          <w:t xml:space="preserve">Tipo de ley 28/10/2026</w:t>
        </w:r>
      </w:hyperlink>
      <w:r>
        <w:rPr>
          <w:sz w:val="19"/>
          <w:szCs w:val="19"/>
        </w:rPr>
        <w:t xml:space="preserve">   ·   </w:t>
      </w:r>
      <w:hyperlink w:history="1" r:id="rIddljb2pfqbvb5mjg7-lkfs">
        <w:r>
          <w:rPr>
            <w:rStyle w:val="Hyperlink"/>
            <w:sz w:val="19"/>
            <w:szCs w:val="19"/>
          </w:rPr>
          <w:t xml:space="preserve">Estado actual 25/10/2026</w:t>
        </w:r>
      </w:hyperlink>
      <w:r>
        <w:rPr>
          <w:sz w:val="19"/>
          <w:szCs w:val="19"/>
        </w:rPr>
        <w:t xml:space="preserve">   ·   </w:t>
      </w:r>
      <w:hyperlink w:history="1" r:id="rId_lgj7rj8cvhayp6dxkq52">
        <w:r>
          <w:rPr>
            <w:rStyle w:val="Hyperlink"/>
            <w:sz w:val="19"/>
            <w:szCs w:val="19"/>
          </w:rPr>
          <w:t xml:space="preserve">Origen 28/10/2026</w:t>
        </w:r>
      </w:hyperlink>
      <w:r>
        <w:rPr>
          <w:sz w:val="19"/>
          <w:szCs w:val="19"/>
        </w:rPr>
        <w:t xml:space="preserve">   ·   </w:t>
      </w:r>
      <w:hyperlink w:history="1" r:id="rId4xj0dsxi3pae6wanuukyk">
        <w:r>
          <w:rPr>
            <w:rStyle w:val="Hyperlink"/>
            <w:sz w:val="19"/>
            <w:szCs w:val="19"/>
          </w:rPr>
          <w:t xml:space="preserve">Comisión 28/10/2026</w:t>
        </w:r>
      </w:hyperlink>
      <w:r>
        <w:rPr>
          <w:sz w:val="19"/>
          <w:szCs w:val="19"/>
        </w:rPr>
        <w:t xml:space="preserve">   ·   </w:t>
      </w:r>
      <w:hyperlink w:history="1" r:id="rId2q43ekt5gzyq0cvgxouli">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p. 7.</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124 de 2025 Senado</w:t>
      </w:r>
    </w:p>
    <w:p>
      <w:pPr>
        <w:keepNext/>
        <w:widowControl/>
        <w:spacing w:after="160" w:line="276"/>
      </w:pPr>
      <w:r>
        <w:rPr>
          <w:b/>
          <w:bCs/>
          <w:color w:val="000000"/>
          <w:sz w:val="24"/>
          <w:szCs w:val="24"/>
        </w:rPr>
        <w:t xml:space="preserve">El turbante y sus saberes asociados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Sexta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presenta el turbante como expresión de identidad, resistencia y saberes transmitidos entre generaciones, y como medio de organización y emprendimiento de mujeres afrocolombianas. Justifica su salvaguardia como reconocimiento cultural y reparación simbólica frente a formas de discriminación y exclusión.</w:t>
      </w:r>
    </w:p>
    <w:p>
      <w:pPr>
        <w:pStyle w:val="Heading2"/>
        <w:keepNext/>
        <w:spacing w:after="80" w:before="200"/>
      </w:pPr>
      <w:r>
        <w:t xml:space="preserve">Objeto del texto radicado</w:t>
      </w:r>
    </w:p>
    <w:p>
      <w:pPr>
        <w:widowControl/>
        <w:spacing w:after="100" w:line="276"/>
      </w:pPr>
      <w:r>
        <w:rPr>
          <w:color w:val="000000"/>
          <w:sz w:val="22"/>
          <w:szCs w:val="22"/>
        </w:rPr>
        <w:t xml:space="preserve">Declara el turbante y sus saberes como patrimonio cultural inmaterial; propone una red nacional de mujeres sabedoras, formación, emprendimiento, pedagogía y educación intercultural. Es el texto inicial; la ponencia posterior exige el trámite administrativo patrimonial.</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1412/2026 reconoce el turbante y sus manifestaciones afrodescendientes y crea una red nacional de mujeres sabedoras, emprendedoras y empresarias, con formación, transmisión y educación intercultural. La inclusión en la lista de patrimonio debe surtir el procedimiento de la Ley 397 de 1997; no se presenta como inscripción automática. El texto inicial usa una declaratoria directa; se distinguen los dos documentos.</w:t>
      </w:r>
    </w:p>
    <w:p>
      <w:pPr>
        <w:pStyle w:val="Heading2"/>
        <w:keepNext/>
        <w:spacing w:after="80" w:before="200"/>
      </w:pPr>
      <w:r>
        <w:t xml:space="preserve">Ponentes</w:t>
      </w:r>
    </w:p>
    <w:p>
      <w:pPr>
        <w:widowControl/>
        <w:spacing w:after="100" w:line="276"/>
      </w:pPr>
      <w:r>
        <w:rPr>
          <w:color w:val="000000"/>
          <w:sz w:val="22"/>
          <w:szCs w:val="22"/>
        </w:rPr>
        <w:t xml:space="preserve">Ana Paola García Soto · coordinadora ponente para segundo debate.</w:t>
      </w:r>
    </w:p>
    <w:p>
      <w:pPr>
        <w:pStyle w:val="Heading2"/>
        <w:keepNext/>
        <w:spacing w:after="80" w:before="200"/>
      </w:pPr>
      <w:r>
        <w:t xml:space="preserve">Documentos oficiales</w:t>
      </w:r>
    </w:p>
    <w:p>
      <w:pPr>
        <w:widowControl/>
        <w:spacing w:after="90" w:line="252"/>
      </w:pPr>
      <w:hyperlink w:history="1" r:id="rIdqicv5jhqx-n-xjwjy5xpd">
        <w:r>
          <w:rPr>
            <w:rStyle w:val="Hyperlink"/>
            <w:sz w:val="19"/>
            <w:szCs w:val="19"/>
          </w:rPr>
          <w:t xml:space="preserve">Orden o soporte de sesión</w:t>
        </w:r>
      </w:hyperlink>
      <w:r>
        <w:rPr>
          <w:sz w:val="19"/>
          <w:szCs w:val="19"/>
        </w:rPr>
        <w:t xml:space="preserve">   ·   </w:t>
      </w:r>
      <w:hyperlink w:history="1" r:id="rIdxll5qxiadjhmzq9haibxq">
        <w:r>
          <w:rPr>
            <w:rStyle w:val="Hyperlink"/>
            <w:sz w:val="19"/>
            <w:szCs w:val="19"/>
          </w:rPr>
          <w:t xml:space="preserve">Texto radicado</w:t>
        </w:r>
      </w:hyperlink>
      <w:r>
        <w:rPr>
          <w:sz w:val="19"/>
          <w:szCs w:val="19"/>
        </w:rPr>
        <w:t xml:space="preserve">   ·   </w:t>
      </w:r>
      <w:hyperlink w:history="1" r:id="rId79ap6b0chgdo13q6ybk_z">
        <w:r>
          <w:rPr>
            <w:rStyle w:val="Hyperlink"/>
            <w:sz w:val="19"/>
            <w:szCs w:val="19"/>
          </w:rPr>
          <w:t xml:space="preserve">Ponencia o soporte actual</w:t>
        </w:r>
      </w:hyperlink>
      <w:r>
        <w:rPr>
          <w:sz w:val="19"/>
          <w:szCs w:val="19"/>
        </w:rPr>
        <w:t xml:space="preserve">   ·   </w:t>
      </w:r>
      <w:hyperlink w:history="1" r:id="rIdd0oljdmgg-v-c4newhbrz">
        <w:r>
          <w:rPr>
            <w:rStyle w:val="Hyperlink"/>
            <w:sz w:val="19"/>
            <w:szCs w:val="19"/>
          </w:rPr>
          <w:t xml:space="preserve">Fuente de ponentes</w:t>
        </w:r>
      </w:hyperlink>
    </w:p>
    <w:p>
      <w:pPr>
        <w:widowControl/>
        <w:spacing w:after="90" w:line="252"/>
      </w:pPr>
      <w:hyperlink w:history="1" r:id="rIdfmjzooynjzhnu0nsssqjo">
        <w:r>
          <w:rPr>
            <w:rStyle w:val="Hyperlink"/>
            <w:sz w:val="19"/>
            <w:szCs w:val="19"/>
          </w:rPr>
          <w:t xml:space="preserve">Tipo de ley 28/10/2026</w:t>
        </w:r>
      </w:hyperlink>
      <w:r>
        <w:rPr>
          <w:sz w:val="19"/>
          <w:szCs w:val="19"/>
        </w:rPr>
        <w:t xml:space="preserve">   ·   </w:t>
      </w:r>
      <w:hyperlink w:history="1" r:id="rIdag3c7xaym14q2s6rffbsf">
        <w:r>
          <w:rPr>
            <w:rStyle w:val="Hyperlink"/>
            <w:sz w:val="19"/>
            <w:szCs w:val="19"/>
          </w:rPr>
          <w:t xml:space="preserve">Estado actual 25/10/2026</w:t>
        </w:r>
      </w:hyperlink>
      <w:r>
        <w:rPr>
          <w:sz w:val="19"/>
          <w:szCs w:val="19"/>
        </w:rPr>
        <w:t xml:space="preserve">   ·   </w:t>
      </w:r>
      <w:hyperlink w:history="1" r:id="rIdwkzzmjeeroyonk-wmuyo7">
        <w:r>
          <w:rPr>
            <w:rStyle w:val="Hyperlink"/>
            <w:sz w:val="19"/>
            <w:szCs w:val="19"/>
          </w:rPr>
          <w:t xml:space="preserve">Origen 28/10/2026</w:t>
        </w:r>
      </w:hyperlink>
      <w:r>
        <w:rPr>
          <w:sz w:val="19"/>
          <w:szCs w:val="19"/>
        </w:rPr>
        <w:t xml:space="preserve">   ·   </w:t>
      </w:r>
      <w:hyperlink w:history="1" r:id="rIdrxoh2geawtdzix16x9e8w">
        <w:r>
          <w:rPr>
            <w:rStyle w:val="Hyperlink"/>
            <w:sz w:val="19"/>
            <w:szCs w:val="19"/>
          </w:rPr>
          <w:t xml:space="preserve">Comisión 28/10/2026</w:t>
        </w:r>
      </w:hyperlink>
      <w:r>
        <w:rPr>
          <w:sz w:val="19"/>
          <w:szCs w:val="19"/>
        </w:rPr>
        <w:t xml:space="preserve">   ·   </w:t>
      </w:r>
      <w:hyperlink w:history="1" r:id="rId_xtdmt3jliruok6q6zq2j">
        <w:r>
          <w:rPr>
            <w:rStyle w:val="Hyperlink"/>
            <w:sz w:val="19"/>
            <w:szCs w:val="19"/>
          </w:rPr>
          <w:t xml:space="preserve">Breve exposición de motivos 28/10/2026</w:t>
        </w:r>
      </w:hyperlink>
    </w:p>
    <w:p>
      <w:pPr>
        <w:widowControl/>
        <w:spacing w:after="80" w:line="276"/>
      </w:pPr>
      <w:r>
        <w:rPr>
          <w:color w:val="000000"/>
          <w:sz w:val="19"/>
          <w:szCs w:val="19"/>
        </w:rPr>
        <w:t xml:space="preserve">Texto radicado, justificación y argumentos de la exposición, p. 7 del PDF.</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106 de 2026 Senado</w:t>
      </w:r>
    </w:p>
    <w:p>
      <w:pPr>
        <w:keepNext/>
        <w:widowControl/>
        <w:spacing w:after="160" w:line="276"/>
      </w:pPr>
      <w:r>
        <w:rPr>
          <w:b/>
          <w:bCs/>
          <w:color w:val="000000"/>
          <w:sz w:val="24"/>
          <w:szCs w:val="24"/>
        </w:rPr>
        <w:t xml:space="preserve">Sostenimiento estudiantil y transferencias monetarias juveniles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Sexta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El autor considera que las restricciones fiscales y la competencia por recursos pueden debilitar los apoyos que permiten a los estudiantes permanecer en el sistema educativo. Justifica la prioridad propuesta como una inversión de largo plazo para reducir la deserción y fortalecer la formación; se describe el fundamento del texto inicial, distinto del articulado modificado de la ponencia.</w:t>
      </w:r>
    </w:p>
    <w:p>
      <w:pPr>
        <w:pStyle w:val="Heading2"/>
        <w:keepNext/>
        <w:spacing w:after="80" w:before="200"/>
      </w:pPr>
      <w:r>
        <w:t xml:space="preserve">Objeto del texto radicado</w:t>
      </w:r>
    </w:p>
    <w:p>
      <w:pPr>
        <w:widowControl/>
        <w:spacing w:after="100" w:line="276"/>
      </w:pPr>
      <w:r>
        <w:rPr>
          <w:color w:val="000000"/>
          <w:sz w:val="22"/>
          <w:szCs w:val="22"/>
        </w:rPr>
        <w:t xml:space="preserve">Añade un parágrafo al artículo 3 de la Ley 2307 de 2023: prioridad de disponibilidad presupuestal del sostenimiento estudiantil sobre transferencias monetarias juveniles. La ponencia posterior desarrolla articulación, salvaguardas y priorización progresiva.</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1442/2026 supera la prioridad general que sugiere el título: encarga a Educación y DPS priorizar progresivamente apoyos de sostenimiento a estudiantes de pregrado de instituciones públicas dentro de recursos disponibles. Articula transferencias juveniles, evita duplicidades o perjuicios y preserva programas de pobreza, vulnerabilidad o especial protección con finalidad distinta al sostenimiento educativo. No crea una apropiación autónoma ni elimina todas las demás transferencias.</w:t>
      </w:r>
    </w:p>
    <w:p>
      <w:pPr>
        <w:pStyle w:val="Heading2"/>
        <w:keepNext/>
        <w:spacing w:after="80" w:before="200"/>
      </w:pPr>
      <w:r>
        <w:t xml:space="preserve">Ponentes</w:t>
      </w:r>
    </w:p>
    <w:p>
      <w:pPr>
        <w:widowControl/>
        <w:spacing w:after="100" w:line="276"/>
      </w:pPr>
      <w:r>
        <w:rPr>
          <w:color w:val="000000"/>
          <w:sz w:val="22"/>
          <w:szCs w:val="22"/>
        </w:rPr>
        <w:t xml:space="preserve">Julia Correa Nuttin · ponente única para segundo debate.</w:t>
      </w:r>
    </w:p>
    <w:p>
      <w:pPr>
        <w:pStyle w:val="Heading2"/>
        <w:keepNext/>
        <w:spacing w:after="80" w:before="200"/>
      </w:pPr>
      <w:r>
        <w:t xml:space="preserve">Documentos oficiales</w:t>
      </w:r>
    </w:p>
    <w:p>
      <w:pPr>
        <w:widowControl/>
        <w:spacing w:after="90" w:line="252"/>
      </w:pPr>
      <w:hyperlink w:history="1" r:id="rId3ueyhxi-gu3qr7ye2x4zn">
        <w:r>
          <w:rPr>
            <w:rStyle w:val="Hyperlink"/>
            <w:sz w:val="19"/>
            <w:szCs w:val="19"/>
          </w:rPr>
          <w:t xml:space="preserve">Orden o soporte de sesión</w:t>
        </w:r>
      </w:hyperlink>
      <w:r>
        <w:rPr>
          <w:sz w:val="19"/>
          <w:szCs w:val="19"/>
        </w:rPr>
        <w:t xml:space="preserve">   ·   </w:t>
      </w:r>
      <w:hyperlink w:history="1" r:id="rIdiovzmcso2owmvdmpfqhf3">
        <w:r>
          <w:rPr>
            <w:rStyle w:val="Hyperlink"/>
            <w:sz w:val="19"/>
            <w:szCs w:val="19"/>
          </w:rPr>
          <w:t xml:space="preserve">Texto radicado</w:t>
        </w:r>
      </w:hyperlink>
      <w:r>
        <w:rPr>
          <w:sz w:val="19"/>
          <w:szCs w:val="19"/>
        </w:rPr>
        <w:t xml:space="preserve">   ·   </w:t>
      </w:r>
      <w:hyperlink w:history="1" r:id="rIduputya2yjakf6vf7ym8ls">
        <w:r>
          <w:rPr>
            <w:rStyle w:val="Hyperlink"/>
            <w:sz w:val="19"/>
            <w:szCs w:val="19"/>
          </w:rPr>
          <w:t xml:space="preserve">Ponencia o soporte actual</w:t>
        </w:r>
      </w:hyperlink>
      <w:r>
        <w:rPr>
          <w:sz w:val="19"/>
          <w:szCs w:val="19"/>
        </w:rPr>
        <w:t xml:space="preserve">   ·   </w:t>
      </w:r>
      <w:hyperlink w:history="1" r:id="rIda_9lkytfyjv2z-pctkqwj">
        <w:r>
          <w:rPr>
            <w:rStyle w:val="Hyperlink"/>
            <w:sz w:val="19"/>
            <w:szCs w:val="19"/>
          </w:rPr>
          <w:t xml:space="preserve">Fuente de ponentes</w:t>
        </w:r>
      </w:hyperlink>
    </w:p>
    <w:p>
      <w:pPr>
        <w:widowControl/>
        <w:spacing w:after="90" w:line="252"/>
      </w:pPr>
      <w:hyperlink w:history="1" r:id="rIddrpeqo04oh-i8s0_e440y">
        <w:r>
          <w:rPr>
            <w:rStyle w:val="Hyperlink"/>
            <w:sz w:val="19"/>
            <w:szCs w:val="19"/>
          </w:rPr>
          <w:t xml:space="preserve">Tipo de ley 28/10/2026</w:t>
        </w:r>
      </w:hyperlink>
      <w:r>
        <w:rPr>
          <w:sz w:val="19"/>
          <w:szCs w:val="19"/>
        </w:rPr>
        <w:t xml:space="preserve">   ·   </w:t>
      </w:r>
      <w:hyperlink w:history="1" r:id="rIdzc4bnrk9ovugmhtfhumb3">
        <w:r>
          <w:rPr>
            <w:rStyle w:val="Hyperlink"/>
            <w:sz w:val="19"/>
            <w:szCs w:val="19"/>
          </w:rPr>
          <w:t xml:space="preserve">Estado actual 25/10/2026</w:t>
        </w:r>
      </w:hyperlink>
      <w:r>
        <w:rPr>
          <w:sz w:val="19"/>
          <w:szCs w:val="19"/>
        </w:rPr>
        <w:t xml:space="preserve">   ·   </w:t>
      </w:r>
      <w:hyperlink w:history="1" r:id="rId3kxvopj0hpxzw5f25ycfa">
        <w:r>
          <w:rPr>
            <w:rStyle w:val="Hyperlink"/>
            <w:sz w:val="19"/>
            <w:szCs w:val="19"/>
          </w:rPr>
          <w:t xml:space="preserve">Origen 28/10/2026</w:t>
        </w:r>
      </w:hyperlink>
      <w:r>
        <w:rPr>
          <w:sz w:val="19"/>
          <w:szCs w:val="19"/>
        </w:rPr>
        <w:t xml:space="preserve">   ·   </w:t>
      </w:r>
      <w:hyperlink w:history="1" r:id="rIdndqdrze-mup4lq9bzjjdm">
        <w:r>
          <w:rPr>
            <w:rStyle w:val="Hyperlink"/>
            <w:sz w:val="19"/>
            <w:szCs w:val="19"/>
          </w:rPr>
          <w:t xml:space="preserve">Comisión 28/10/2026</w:t>
        </w:r>
      </w:hyperlink>
      <w:r>
        <w:rPr>
          <w:sz w:val="19"/>
          <w:szCs w:val="19"/>
        </w:rPr>
        <w:t xml:space="preserve">   ·   </w:t>
      </w:r>
      <w:hyperlink w:history="1" r:id="rId6xzcz5bcixulu6tghsrat">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objeto y justificación, p. 3.</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1"/>
        <w:keepNext/>
        <w:spacing w:after="160" w:before="340"/>
      </w:pPr>
      <w:r>
        <w:t xml:space="preserve">Comisión Séptima del Senado</w:t>
      </w:r>
    </w:p>
    <w:p>
      <w:pPr>
        <w:pStyle w:val="Heading2"/>
        <w:keepNext/>
        <w:spacing w:after="120" w:before="280"/>
      </w:pPr>
      <w:r>
        <w:t xml:space="preserve">PL 224 de 2025 Senado</w:t>
      </w:r>
    </w:p>
    <w:p>
      <w:pPr>
        <w:keepNext/>
        <w:widowControl/>
        <w:spacing w:after="160" w:line="276"/>
      </w:pPr>
      <w:r>
        <w:rPr>
          <w:b/>
          <w:bCs/>
          <w:color w:val="000000"/>
          <w:sz w:val="24"/>
          <w:szCs w:val="24"/>
        </w:rPr>
        <w:t xml:space="preserve">Hidrólisis alcalina y nuevas tecnologías funerarias · Ley despedida ecológica</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Septima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Los autores señalan que la hidrólisis alcalina carece de una reglamentación específica en Colombia y proponen incorporarla como alternativa funeraria con trato digno. Atribuyen a la técnica ventajas ambientales frente a otros métodos y recogen observaciones sobre vertimientos, sustancias químicas y seguridad operativa que justifican exigir controles y autorización; no se presenta esa valoración como una conclusión técnica independiente.</w:t>
      </w:r>
    </w:p>
    <w:p>
      <w:pPr>
        <w:pStyle w:val="Heading2"/>
        <w:keepNext/>
        <w:spacing w:after="80" w:before="200"/>
      </w:pPr>
      <w:r>
        <w:t xml:space="preserve">Objeto del texto radicado</w:t>
      </w:r>
    </w:p>
    <w:p>
      <w:pPr>
        <w:widowControl/>
        <w:spacing w:after="100" w:line="276"/>
      </w:pPr>
      <w:r>
        <w:rPr>
          <w:color w:val="000000"/>
          <w:sz w:val="22"/>
          <w:szCs w:val="22"/>
        </w:rPr>
        <w:t xml:space="preserve">Establece la hidrólisis alcalina y nuevas tecnologías funerarias; regula proveedores, licencia por cadáver, consentimiento, identificación, agua y vertimientos, gestión de riesgos, registro y restricciones forenses. Texto inicial leído, distinto de la ponencia posterior.</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de la Gaceta 592/2026 propone permitir y regular la hidrólisis alcalina y otras tecnologías funerarias. Exige identificación, autorización del fallecido o deudos, licencia individual, controles sobre agua, vertimientos y sustancias químicas, trazabilidad y respeto a creencias. Excluye cadáveres con interés forense o investigaciones que requieran preservación. No equivale a autorización incondicional de cada establecimiento. El portal legislativo registra además concepto de Medicina Legal y UBPD en Gaceta 1610/2026, ya archivada en el seguimiento.</w:t>
      </w:r>
    </w:p>
    <w:p>
      <w:pPr>
        <w:pStyle w:val="Heading2"/>
        <w:keepNext/>
        <w:spacing w:after="80" w:before="200"/>
      </w:pPr>
      <w:r>
        <w:t xml:space="preserve">Ponentes</w:t>
      </w:r>
    </w:p>
    <w:p>
      <w:pPr>
        <w:widowControl/>
        <w:spacing w:after="100" w:line="276"/>
      </w:pPr>
      <w:r>
        <w:rPr>
          <w:color w:val="000000"/>
          <w:sz w:val="22"/>
          <w:szCs w:val="22"/>
        </w:rPr>
        <w:t xml:space="preserve">Esperanza Andrade Serrano, coordinadora; Wilson Neber Arias Castillo y Honorio Miguel Henríquez Pinedo, ponentes para segundo debate.</w:t>
      </w:r>
    </w:p>
    <w:p>
      <w:pPr>
        <w:pStyle w:val="Heading2"/>
        <w:keepNext/>
        <w:spacing w:after="80" w:before="200"/>
      </w:pPr>
      <w:r>
        <w:t xml:space="preserve">Documentos oficiales</w:t>
      </w:r>
    </w:p>
    <w:p>
      <w:pPr>
        <w:widowControl/>
        <w:spacing w:after="90" w:line="252"/>
      </w:pPr>
      <w:hyperlink w:history="1" r:id="rIdqtfi4zedkifpqjlnu5n_c">
        <w:r>
          <w:rPr>
            <w:rStyle w:val="Hyperlink"/>
            <w:sz w:val="19"/>
            <w:szCs w:val="19"/>
          </w:rPr>
          <w:t xml:space="preserve">Orden o soporte de sesión</w:t>
        </w:r>
      </w:hyperlink>
      <w:r>
        <w:rPr>
          <w:sz w:val="19"/>
          <w:szCs w:val="19"/>
        </w:rPr>
        <w:t xml:space="preserve">   ·   </w:t>
      </w:r>
      <w:hyperlink w:history="1" r:id="rIdhyn0j6wyelfqitv0png2e">
        <w:r>
          <w:rPr>
            <w:rStyle w:val="Hyperlink"/>
            <w:sz w:val="19"/>
            <w:szCs w:val="19"/>
          </w:rPr>
          <w:t xml:space="preserve">Texto radicado</w:t>
        </w:r>
      </w:hyperlink>
      <w:r>
        <w:rPr>
          <w:sz w:val="19"/>
          <w:szCs w:val="19"/>
        </w:rPr>
        <w:t xml:space="preserve">   ·   </w:t>
      </w:r>
      <w:hyperlink w:history="1" r:id="rId0eqjd2wu9ie3atsgbxgtc">
        <w:r>
          <w:rPr>
            <w:rStyle w:val="Hyperlink"/>
            <w:sz w:val="19"/>
            <w:szCs w:val="19"/>
          </w:rPr>
          <w:t xml:space="preserve">Ponencia o soporte actual</w:t>
        </w:r>
      </w:hyperlink>
      <w:r>
        <w:rPr>
          <w:sz w:val="19"/>
          <w:szCs w:val="19"/>
        </w:rPr>
        <w:t xml:space="preserve">   ·   </w:t>
      </w:r>
      <w:hyperlink w:history="1" r:id="rIdda8xwy_hcqpw7n0kxsaau">
        <w:r>
          <w:rPr>
            <w:rStyle w:val="Hyperlink"/>
            <w:sz w:val="19"/>
            <w:szCs w:val="19"/>
          </w:rPr>
          <w:t xml:space="preserve">Fuente de ponentes</w:t>
        </w:r>
      </w:hyperlink>
    </w:p>
    <w:p>
      <w:pPr>
        <w:widowControl/>
        <w:spacing w:after="90" w:line="252"/>
      </w:pPr>
      <w:hyperlink w:history="1" r:id="rIdak2ce3yhxhiupp4swnvri">
        <w:r>
          <w:rPr>
            <w:rStyle w:val="Hyperlink"/>
            <w:sz w:val="19"/>
            <w:szCs w:val="19"/>
          </w:rPr>
          <w:t xml:space="preserve">Tipo de ley 28/10/2026</w:t>
        </w:r>
      </w:hyperlink>
      <w:r>
        <w:rPr>
          <w:sz w:val="19"/>
          <w:szCs w:val="19"/>
        </w:rPr>
        <w:t xml:space="preserve">   ·   </w:t>
      </w:r>
      <w:hyperlink w:history="1" r:id="rIdcnd3zipkwi0q2qgxedivc">
        <w:r>
          <w:rPr>
            <w:rStyle w:val="Hyperlink"/>
            <w:sz w:val="19"/>
            <w:szCs w:val="19"/>
          </w:rPr>
          <w:t xml:space="preserve">Estado actual 25/10/2026</w:t>
        </w:r>
      </w:hyperlink>
      <w:r>
        <w:rPr>
          <w:sz w:val="19"/>
          <w:szCs w:val="19"/>
        </w:rPr>
        <w:t xml:space="preserve">   ·   </w:t>
      </w:r>
      <w:hyperlink w:history="1" r:id="rIdmkgmdhufn_3coedggt0xc">
        <w:r>
          <w:rPr>
            <w:rStyle w:val="Hyperlink"/>
            <w:sz w:val="19"/>
            <w:szCs w:val="19"/>
          </w:rPr>
          <w:t xml:space="preserve">Origen 28/10/2026</w:t>
        </w:r>
      </w:hyperlink>
      <w:r>
        <w:rPr>
          <w:sz w:val="19"/>
          <w:szCs w:val="19"/>
        </w:rPr>
        <w:t xml:space="preserve">   ·   </w:t>
      </w:r>
      <w:hyperlink w:history="1" r:id="rIdsvmuehg4-ci-nwwgbgqsm">
        <w:r>
          <w:rPr>
            <w:rStyle w:val="Hyperlink"/>
            <w:sz w:val="19"/>
            <w:szCs w:val="19"/>
          </w:rPr>
          <w:t xml:space="preserve">Comisión 28/10/2026</w:t>
        </w:r>
      </w:hyperlink>
      <w:r>
        <w:rPr>
          <w:sz w:val="19"/>
          <w:szCs w:val="19"/>
        </w:rPr>
        <w:t xml:space="preserve">   ·   </w:t>
      </w:r>
      <w:hyperlink w:history="1" r:id="rIdmvtzga_wmdnki0qrrl2ro">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objeto y antecedentes técnicos, pp. 18–19.</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103 de 2025 Senado</w:t>
      </w:r>
    </w:p>
    <w:p>
      <w:pPr>
        <w:keepNext/>
        <w:widowControl/>
        <w:spacing w:after="160" w:line="276"/>
      </w:pPr>
      <w:r>
        <w:rPr>
          <w:b/>
          <w:bCs/>
          <w:color w:val="000000"/>
          <w:sz w:val="24"/>
          <w:szCs w:val="24"/>
        </w:rPr>
        <w:t xml:space="preserve">Bebederos de agua potable en espacio público</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Septima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justificación relaciona el acceso insuficiente al agua potable con desigualdades y problemas de salud e higiene, y propone ampliar los puntos de acceso gratuito en espacios públicos y áreas dotacionales. Cita antecedentes de iniciativas archivadas y datos sobre acceso al agua como sustento de la necesidad de retomar la medida.</w:t>
      </w:r>
    </w:p>
    <w:p>
      <w:pPr>
        <w:pStyle w:val="Heading2"/>
        <w:keepNext/>
        <w:spacing w:after="80" w:before="200"/>
      </w:pPr>
      <w:r>
        <w:t xml:space="preserve">Objeto del texto radicado</w:t>
      </w:r>
    </w:p>
    <w:p>
      <w:pPr>
        <w:widowControl/>
        <w:spacing w:after="100" w:line="276"/>
      </w:pPr>
      <w:r>
        <w:rPr>
          <w:color w:val="000000"/>
          <w:sz w:val="22"/>
          <w:szCs w:val="22"/>
        </w:rPr>
        <w:t xml:space="preserve">Dispone bebederos de agua potable gratuitos, calidad sanitaria, accesibilidad y mantenimiento. El original prevé cuatro años y cobertura superior al 95%, obligación para municipios de categoría uno o especial y progresividad para otros; la ponencia posterior modifica esos parámetros.</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1307/2026 propone instalación de bebederos gratuitos, priorizando instituciones educativas y espacios de gran afluencia; establece calidad, mantenimiento, accesibilidad y condiciones especiales en zonas costeras. Prevé tres años, disponibilidad presupuestal y cobertura de agua superior al 90%; obligación para categoría uno o especial y progresividad en las demás. Prioriza el acceso domiciliario de población vulnerable. Algunos encabezados de la ponencia dicen 103/2026; el auto de publicación, el original y el orden identifican 103/2025.</w:t>
      </w:r>
    </w:p>
    <w:p>
      <w:pPr>
        <w:pStyle w:val="Heading2"/>
        <w:keepNext/>
        <w:spacing w:after="80" w:before="200"/>
      </w:pPr>
      <w:r>
        <w:t xml:space="preserve">Ponentes</w:t>
      </w:r>
    </w:p>
    <w:p>
      <w:pPr>
        <w:widowControl/>
        <w:spacing w:after="100" w:line="276"/>
      </w:pPr>
      <w:r>
        <w:rPr>
          <w:color w:val="000000"/>
          <w:sz w:val="22"/>
          <w:szCs w:val="22"/>
        </w:rPr>
        <w:t xml:space="preserve">Duvalier Sánchez Arango · segundo debate en Senado.</w:t>
      </w:r>
    </w:p>
    <w:p>
      <w:pPr>
        <w:pStyle w:val="Heading2"/>
        <w:keepNext/>
        <w:spacing w:after="80" w:before="200"/>
      </w:pPr>
      <w:r>
        <w:t xml:space="preserve">Documentos oficiales</w:t>
      </w:r>
    </w:p>
    <w:p>
      <w:pPr>
        <w:widowControl/>
        <w:spacing w:after="90" w:line="252"/>
      </w:pPr>
      <w:hyperlink w:history="1" r:id="rIdphqgtij1kbkeyfnbprhkf">
        <w:r>
          <w:rPr>
            <w:rStyle w:val="Hyperlink"/>
            <w:sz w:val="19"/>
            <w:szCs w:val="19"/>
          </w:rPr>
          <w:t xml:space="preserve">Orden o soporte de sesión</w:t>
        </w:r>
      </w:hyperlink>
      <w:r>
        <w:rPr>
          <w:sz w:val="19"/>
          <w:szCs w:val="19"/>
        </w:rPr>
        <w:t xml:space="preserve">   ·   </w:t>
      </w:r>
      <w:hyperlink w:history="1" r:id="rIdni-v2gxhnn1uem_xnsyea">
        <w:r>
          <w:rPr>
            <w:rStyle w:val="Hyperlink"/>
            <w:sz w:val="19"/>
            <w:szCs w:val="19"/>
          </w:rPr>
          <w:t xml:space="preserve">Texto radicado</w:t>
        </w:r>
      </w:hyperlink>
      <w:r>
        <w:rPr>
          <w:sz w:val="19"/>
          <w:szCs w:val="19"/>
        </w:rPr>
        <w:t xml:space="preserve">   ·   </w:t>
      </w:r>
      <w:hyperlink w:history="1" r:id="rIdpqxd-dmr1fqbegjf7jcks">
        <w:r>
          <w:rPr>
            <w:rStyle w:val="Hyperlink"/>
            <w:sz w:val="19"/>
            <w:szCs w:val="19"/>
          </w:rPr>
          <w:t xml:space="preserve">Ponencia o soporte actual</w:t>
        </w:r>
      </w:hyperlink>
      <w:r>
        <w:rPr>
          <w:sz w:val="19"/>
          <w:szCs w:val="19"/>
        </w:rPr>
        <w:t xml:space="preserve">   ·   </w:t>
      </w:r>
      <w:hyperlink w:history="1" r:id="rId98j7jjgivhohvgzakzbox">
        <w:r>
          <w:rPr>
            <w:rStyle w:val="Hyperlink"/>
            <w:sz w:val="19"/>
            <w:szCs w:val="19"/>
          </w:rPr>
          <w:t xml:space="preserve">Fuente de ponentes</w:t>
        </w:r>
      </w:hyperlink>
    </w:p>
    <w:p>
      <w:pPr>
        <w:widowControl/>
        <w:spacing w:after="90" w:line="252"/>
      </w:pPr>
      <w:hyperlink w:history="1" r:id="rIduiu27gbcz8ahkulqulnda">
        <w:r>
          <w:rPr>
            <w:rStyle w:val="Hyperlink"/>
            <w:sz w:val="19"/>
            <w:szCs w:val="19"/>
          </w:rPr>
          <w:t xml:space="preserve">Tipo de ley 28/10/2026</w:t>
        </w:r>
      </w:hyperlink>
      <w:r>
        <w:rPr>
          <w:sz w:val="19"/>
          <w:szCs w:val="19"/>
        </w:rPr>
        <w:t xml:space="preserve">   ·   </w:t>
      </w:r>
      <w:hyperlink w:history="1" r:id="rIddozk9msrwci10odjmk00q">
        <w:r>
          <w:rPr>
            <w:rStyle w:val="Hyperlink"/>
            <w:sz w:val="19"/>
            <w:szCs w:val="19"/>
          </w:rPr>
          <w:t xml:space="preserve">Estado actual 25/10/2026</w:t>
        </w:r>
      </w:hyperlink>
      <w:r>
        <w:rPr>
          <w:sz w:val="19"/>
          <w:szCs w:val="19"/>
        </w:rPr>
        <w:t xml:space="preserve">   ·   </w:t>
      </w:r>
      <w:hyperlink w:history="1" r:id="rIdblcpph_elp32dtc47ruw8">
        <w:r>
          <w:rPr>
            <w:rStyle w:val="Hyperlink"/>
            <w:sz w:val="19"/>
            <w:szCs w:val="19"/>
          </w:rPr>
          <w:t xml:space="preserve">Origen 28/10/2026</w:t>
        </w:r>
      </w:hyperlink>
      <w:r>
        <w:rPr>
          <w:sz w:val="19"/>
          <w:szCs w:val="19"/>
        </w:rPr>
        <w:t xml:space="preserve">   ·   </w:t>
      </w:r>
      <w:hyperlink w:history="1" r:id="rId2gsajde9grnr6pqujug0q">
        <w:r>
          <w:rPr>
            <w:rStyle w:val="Hyperlink"/>
            <w:sz w:val="19"/>
            <w:szCs w:val="19"/>
          </w:rPr>
          <w:t xml:space="preserve">Comisión 28/10/2026</w:t>
        </w:r>
      </w:hyperlink>
      <w:r>
        <w:rPr>
          <w:sz w:val="19"/>
          <w:szCs w:val="19"/>
        </w:rPr>
        <w:t xml:space="preserve">   ·   </w:t>
      </w:r>
      <w:hyperlink w:history="1" r:id="rIdq6ke4jzcwqcguhteztsu6">
        <w:r>
          <w:rPr>
            <w:rStyle w:val="Hyperlink"/>
            <w:sz w:val="19"/>
            <w:szCs w:val="19"/>
          </w:rPr>
          <w:t xml:space="preserve">Breve exposición de motivos 28/10/2026</w:t>
        </w:r>
      </w:hyperlink>
    </w:p>
    <w:p>
      <w:pPr>
        <w:widowControl/>
        <w:spacing w:after="80" w:line="276"/>
      </w:pPr>
      <w:r>
        <w:rPr>
          <w:color w:val="000000"/>
          <w:sz w:val="19"/>
          <w:szCs w:val="19"/>
        </w:rPr>
        <w:t xml:space="preserve">Texto radicado, antecedentes y justificación, pp. 4–5.</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102 de 2025 Senado</w:t>
      </w:r>
    </w:p>
    <w:p>
      <w:pPr>
        <w:keepNext/>
        <w:widowControl/>
        <w:spacing w:after="160" w:line="276"/>
      </w:pPr>
      <w:r>
        <w:rPr>
          <w:b/>
          <w:bCs/>
          <w:color w:val="000000"/>
          <w:sz w:val="24"/>
          <w:szCs w:val="24"/>
        </w:rPr>
        <w:t xml:space="preserve">Movilidad salarial</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Septima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La exposición invoca la remuneración mínima, vital y móvil para sustentar la protección del poder adquisitivo del salario frente a la inflación. El autor considera necesario desarrollar esa garantía y retomar iniciativas anteriores archivadas por tránsito de legislatura; las interpretaciones constitucionales se atribuyen a la justificación del proyecto.</w:t>
      </w:r>
    </w:p>
    <w:p>
      <w:pPr>
        <w:pStyle w:val="Heading2"/>
        <w:keepNext/>
        <w:spacing w:after="80" w:before="200"/>
      </w:pPr>
      <w:r>
        <w:t xml:space="preserve">Objeto del texto radicado</w:t>
      </w:r>
    </w:p>
    <w:p>
      <w:pPr>
        <w:widowControl/>
        <w:spacing w:after="100" w:line="276"/>
      </w:pPr>
      <w:r>
        <w:rPr>
          <w:color w:val="000000"/>
          <w:sz w:val="22"/>
          <w:szCs w:val="22"/>
        </w:rPr>
        <w:t xml:space="preserve">Establece ajuste anual de salarios superiores al mínimo no inferior al IPC y ajustes de honorarios de contratos que atraviesen año tributario o vigencia fiscal, con excepciones y respeto a negociación colectiva. La ponencia posterior añade vigilancia de MinTrabajo.</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702/2026 exige ajuste anual no inferior al IPC del año anterior para salarios superiores al mínimo. Regula continuidad contractual y honorarios en servicios que atraviesen año tributario o vigencia fiscal, preserva mecanismos de salario mínimo y negociación colectiva y exceptúa remuneraciones expresadas en salarios mínimos y regímenes públicos especiales. Asigna vigilancia a MinTrabajo. No se informa que esta regla esté ya vigente.</w:t>
      </w:r>
    </w:p>
    <w:p>
      <w:pPr>
        <w:pStyle w:val="Heading2"/>
        <w:keepNext/>
        <w:spacing w:after="80" w:before="200"/>
      </w:pPr>
      <w:r>
        <w:t xml:space="preserve">Ponentes</w:t>
      </w:r>
    </w:p>
    <w:p>
      <w:pPr>
        <w:widowControl/>
        <w:spacing w:after="100" w:line="276"/>
      </w:pPr>
      <w:r>
        <w:rPr>
          <w:color w:val="000000"/>
          <w:sz w:val="22"/>
          <w:szCs w:val="22"/>
        </w:rPr>
        <w:t xml:space="preserve">Edwing Fabián Díaz Plata y Wilson Neber Arias Castillo · segundo debate en Senado.</w:t>
      </w:r>
    </w:p>
    <w:p>
      <w:pPr>
        <w:pStyle w:val="Heading2"/>
        <w:keepNext/>
        <w:spacing w:after="80" w:before="200"/>
      </w:pPr>
      <w:r>
        <w:t xml:space="preserve">Documentos oficiales</w:t>
      </w:r>
    </w:p>
    <w:p>
      <w:pPr>
        <w:widowControl/>
        <w:spacing w:after="90" w:line="252"/>
      </w:pPr>
      <w:hyperlink w:history="1" r:id="rIdmfhfacxttmgxoue7gxgtj">
        <w:r>
          <w:rPr>
            <w:rStyle w:val="Hyperlink"/>
            <w:sz w:val="19"/>
            <w:szCs w:val="19"/>
          </w:rPr>
          <w:t xml:space="preserve">Orden o soporte de sesión</w:t>
        </w:r>
      </w:hyperlink>
      <w:r>
        <w:rPr>
          <w:sz w:val="19"/>
          <w:szCs w:val="19"/>
        </w:rPr>
        <w:t xml:space="preserve">   ·   </w:t>
      </w:r>
      <w:hyperlink w:history="1" r:id="rIdbcmma_9gvy1_35aqrrikg">
        <w:r>
          <w:rPr>
            <w:rStyle w:val="Hyperlink"/>
            <w:sz w:val="19"/>
            <w:szCs w:val="19"/>
          </w:rPr>
          <w:t xml:space="preserve">Texto radicado</w:t>
        </w:r>
      </w:hyperlink>
      <w:r>
        <w:rPr>
          <w:sz w:val="19"/>
          <w:szCs w:val="19"/>
        </w:rPr>
        <w:t xml:space="preserve">   ·   </w:t>
      </w:r>
      <w:hyperlink w:history="1" r:id="rIdnmah_gy5wa6nniwbgmayt">
        <w:r>
          <w:rPr>
            <w:rStyle w:val="Hyperlink"/>
            <w:sz w:val="19"/>
            <w:szCs w:val="19"/>
          </w:rPr>
          <w:t xml:space="preserve">Ponencia o soporte actual</w:t>
        </w:r>
      </w:hyperlink>
      <w:r>
        <w:rPr>
          <w:sz w:val="19"/>
          <w:szCs w:val="19"/>
        </w:rPr>
        <w:t xml:space="preserve">   ·   </w:t>
      </w:r>
      <w:hyperlink w:history="1" r:id="rIdmr3i_nhyml9p0pgziddr7">
        <w:r>
          <w:rPr>
            <w:rStyle w:val="Hyperlink"/>
            <w:sz w:val="19"/>
            <w:szCs w:val="19"/>
          </w:rPr>
          <w:t xml:space="preserve">Fuente de ponentes</w:t>
        </w:r>
      </w:hyperlink>
    </w:p>
    <w:p>
      <w:pPr>
        <w:widowControl/>
        <w:spacing w:after="90" w:line="252"/>
      </w:pPr>
      <w:hyperlink w:history="1" r:id="rIdhdafn278eeywq2avmczc7">
        <w:r>
          <w:rPr>
            <w:rStyle w:val="Hyperlink"/>
            <w:sz w:val="19"/>
            <w:szCs w:val="19"/>
          </w:rPr>
          <w:t xml:space="preserve">Tipo de ley 28/10/2026</w:t>
        </w:r>
      </w:hyperlink>
      <w:r>
        <w:rPr>
          <w:sz w:val="19"/>
          <w:szCs w:val="19"/>
        </w:rPr>
        <w:t xml:space="preserve">   ·   </w:t>
      </w:r>
      <w:hyperlink w:history="1" r:id="rIdaxreoj4rl_boxyb_baucs">
        <w:r>
          <w:rPr>
            <w:rStyle w:val="Hyperlink"/>
            <w:sz w:val="19"/>
            <w:szCs w:val="19"/>
          </w:rPr>
          <w:t xml:space="preserve">Estado actual 25/10/2026</w:t>
        </w:r>
      </w:hyperlink>
      <w:r>
        <w:rPr>
          <w:sz w:val="19"/>
          <w:szCs w:val="19"/>
        </w:rPr>
        <w:t xml:space="preserve">   ·   </w:t>
      </w:r>
      <w:hyperlink w:history="1" r:id="rIds-7kh61wc34g_ut2_vyk3">
        <w:r>
          <w:rPr>
            <w:rStyle w:val="Hyperlink"/>
            <w:sz w:val="19"/>
            <w:szCs w:val="19"/>
          </w:rPr>
          <w:t xml:space="preserve">Origen 28/10/2026</w:t>
        </w:r>
      </w:hyperlink>
      <w:r>
        <w:rPr>
          <w:sz w:val="19"/>
          <w:szCs w:val="19"/>
        </w:rPr>
        <w:t xml:space="preserve">   ·   </w:t>
      </w:r>
      <w:hyperlink w:history="1" r:id="rIdcjkmsjo9sch0ydhzp5uhr">
        <w:r>
          <w:rPr>
            <w:rStyle w:val="Hyperlink"/>
            <w:sz w:val="19"/>
            <w:szCs w:val="19"/>
          </w:rPr>
          <w:t xml:space="preserve">Comisión 28/10/2026</w:t>
        </w:r>
      </w:hyperlink>
      <w:r>
        <w:rPr>
          <w:sz w:val="19"/>
          <w:szCs w:val="19"/>
        </w:rPr>
        <w:t xml:space="preserve">   ·   </w:t>
      </w:r>
      <w:hyperlink w:history="1" r:id="rIdkrb3o9sj_jl6ne8zphw6p">
        <w:r>
          <w:rPr>
            <w:rStyle w:val="Hyperlink"/>
            <w:sz w:val="19"/>
            <w:szCs w:val="19"/>
          </w:rPr>
          <w:t xml:space="preserve">Breve exposición de motivos 28/10/2026</w:t>
        </w:r>
      </w:hyperlink>
    </w:p>
    <w:p>
      <w:pPr>
        <w:widowControl/>
        <w:spacing w:after="80" w:line="276"/>
      </w:pPr>
      <w:r>
        <w:rPr>
          <w:color w:val="000000"/>
          <w:sz w:val="19"/>
          <w:szCs w:val="19"/>
        </w:rPr>
        <w:t xml:space="preserve">Texto radicado, antecedentes y consideraciones de justificación, pp. 3–4.</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061 de 2025 Senado</w:t>
      </w:r>
    </w:p>
    <w:p>
      <w:pPr>
        <w:keepNext/>
        <w:widowControl/>
        <w:spacing w:after="160" w:line="276"/>
      </w:pPr>
      <w:r>
        <w:rPr>
          <w:b/>
          <w:bCs/>
          <w:color w:val="000000"/>
          <w:sz w:val="24"/>
          <w:szCs w:val="24"/>
        </w:rPr>
        <w:t xml:space="preserve">Implantes mamarios · seguridad, seguimiento y atención de secuelas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Ordinaria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Comisión Septima del Senado · reparto informado en el portal; la etapa de esta ficha puede corresponder a plenaria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Los autores justifican medidas de información, seguridad, seguimiento y atención frente a riesgos y secuelas que el documento asocia a implantes mamarios. La exposición propone acceso no discriminatorio al diagnóstico, tratamiento, explantación y rehabilitación e incluye a personas con identidades de género diversas. No se afirma aquí una relación médica causal independiente.</w:t>
      </w:r>
    </w:p>
    <w:p>
      <w:pPr>
        <w:pStyle w:val="Heading2"/>
        <w:keepNext/>
        <w:spacing w:after="80" w:before="200"/>
      </w:pPr>
      <w:r>
        <w:t xml:space="preserve">Objeto del texto radicado</w:t>
      </w:r>
    </w:p>
    <w:p>
      <w:pPr>
        <w:widowControl/>
        <w:spacing w:after="100" w:line="276"/>
      </w:pPr>
      <w:r>
        <w:rPr>
          <w:color w:val="000000"/>
          <w:sz w:val="22"/>
          <w:szCs w:val="22"/>
        </w:rPr>
        <w:t xml:space="preserve">Regula servicios de implantación mamaria, consentimiento, póliza y seguimiento de veinte años, prótesis permitidas, atención y rehabilitación de secuelas, vigilancia y un nuevo delito por lesiones con implantes no permitidos. La ponencia posterior modifica duración y financiación, entre otros puntos.</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415/2026 regula consentimiento informado, garantía y seguimiento por diez años, prótesis permitidas, atención integral de complicaciones, registro de dispositivos y responsabilidades de financiación. Prevé cobertura preferente por aseguramiento y posterior por sistema de salud, sin condicionar atención a determinación previa de responsabilidad. Propone un tipo penal por lesiones con implantes no autorizados, adulterados, reutilizados o industriales. Las asociaciones clínicas se explican como materia de la propuesta y evidencia, no como causalidad médica general demostrada.</w:t>
      </w:r>
    </w:p>
    <w:p>
      <w:pPr>
        <w:widowControl/>
        <w:spacing w:after="100" w:line="276"/>
      </w:pPr>
      <w:r>
        <w:rPr>
          <w:color w:val="000000"/>
          <w:sz w:val="22"/>
          <w:szCs w:val="22"/>
        </w:rPr>
        <w:t xml:space="preserve">El original preveía veinte años; no se confunde con el texto de ponencia.</w:t>
      </w:r>
    </w:p>
    <w:p>
      <w:pPr>
        <w:pStyle w:val="Heading2"/>
        <w:keepNext/>
        <w:spacing w:after="80" w:before="200"/>
      </w:pPr>
      <w:r>
        <w:t xml:space="preserve">Ponentes</w:t>
      </w:r>
    </w:p>
    <w:p>
      <w:pPr>
        <w:widowControl/>
        <w:spacing w:after="100" w:line="276"/>
      </w:pPr>
      <w:r>
        <w:rPr>
          <w:color w:val="000000"/>
          <w:sz w:val="22"/>
          <w:szCs w:val="22"/>
        </w:rPr>
        <w:t xml:space="preserve">Norma Hurtado Sánchez · ponente para segundo debate.</w:t>
      </w:r>
    </w:p>
    <w:p>
      <w:pPr>
        <w:pStyle w:val="Heading2"/>
        <w:keepNext/>
        <w:spacing w:after="80" w:before="200"/>
      </w:pPr>
      <w:r>
        <w:t xml:space="preserve">Documentos oficiales</w:t>
      </w:r>
    </w:p>
    <w:p>
      <w:pPr>
        <w:widowControl/>
        <w:spacing w:after="90" w:line="252"/>
      </w:pPr>
      <w:hyperlink w:history="1" r:id="rIdiflrh5cemtcd2vkdgzakh">
        <w:r>
          <w:rPr>
            <w:rStyle w:val="Hyperlink"/>
            <w:sz w:val="19"/>
            <w:szCs w:val="19"/>
          </w:rPr>
          <w:t xml:space="preserve">Orden o soporte de sesión</w:t>
        </w:r>
      </w:hyperlink>
      <w:r>
        <w:rPr>
          <w:sz w:val="19"/>
          <w:szCs w:val="19"/>
        </w:rPr>
        <w:t xml:space="preserve">   ·   </w:t>
      </w:r>
      <w:hyperlink w:history="1" r:id="rIduivglax_4uj9jecdx-l2d">
        <w:r>
          <w:rPr>
            <w:rStyle w:val="Hyperlink"/>
            <w:sz w:val="19"/>
            <w:szCs w:val="19"/>
          </w:rPr>
          <w:t xml:space="preserve">Texto radicado</w:t>
        </w:r>
      </w:hyperlink>
      <w:r>
        <w:rPr>
          <w:sz w:val="19"/>
          <w:szCs w:val="19"/>
        </w:rPr>
        <w:t xml:space="preserve">   ·   </w:t>
      </w:r>
      <w:hyperlink w:history="1" r:id="rIdjkc6ffguyqhsbfc8uskad">
        <w:r>
          <w:rPr>
            <w:rStyle w:val="Hyperlink"/>
            <w:sz w:val="19"/>
            <w:szCs w:val="19"/>
          </w:rPr>
          <w:t xml:space="preserve">Ponencia o soporte actual</w:t>
        </w:r>
      </w:hyperlink>
      <w:r>
        <w:rPr>
          <w:sz w:val="19"/>
          <w:szCs w:val="19"/>
        </w:rPr>
        <w:t xml:space="preserve">   ·   </w:t>
      </w:r>
      <w:hyperlink w:history="1" r:id="rIdykennwf9_-le86cmf4nuc">
        <w:r>
          <w:rPr>
            <w:rStyle w:val="Hyperlink"/>
            <w:sz w:val="19"/>
            <w:szCs w:val="19"/>
          </w:rPr>
          <w:t xml:space="preserve">Fuente de ponentes</w:t>
        </w:r>
      </w:hyperlink>
    </w:p>
    <w:p>
      <w:pPr>
        <w:widowControl/>
        <w:spacing w:after="90" w:line="252"/>
      </w:pPr>
      <w:hyperlink w:history="1" r:id="rIdvj8oghb0bhmtqmorww4qc">
        <w:r>
          <w:rPr>
            <w:rStyle w:val="Hyperlink"/>
            <w:sz w:val="19"/>
            <w:szCs w:val="19"/>
          </w:rPr>
          <w:t xml:space="preserve">Tipo de ley 28/10/2026</w:t>
        </w:r>
      </w:hyperlink>
      <w:r>
        <w:rPr>
          <w:sz w:val="19"/>
          <w:szCs w:val="19"/>
        </w:rPr>
        <w:t xml:space="preserve">   ·   </w:t>
      </w:r>
      <w:hyperlink w:history="1" r:id="rIdog1b5rlgl_6pljpppbtq7">
        <w:r>
          <w:rPr>
            <w:rStyle w:val="Hyperlink"/>
            <w:sz w:val="19"/>
            <w:szCs w:val="19"/>
          </w:rPr>
          <w:t xml:space="preserve">Estado actual 25/10/2026</w:t>
        </w:r>
      </w:hyperlink>
      <w:r>
        <w:rPr>
          <w:sz w:val="19"/>
          <w:szCs w:val="19"/>
        </w:rPr>
        <w:t xml:space="preserve">   ·   </w:t>
      </w:r>
      <w:hyperlink w:history="1" r:id="rIdyltwlxdad142r4ptpouvn">
        <w:r>
          <w:rPr>
            <w:rStyle w:val="Hyperlink"/>
            <w:sz w:val="19"/>
            <w:szCs w:val="19"/>
          </w:rPr>
          <w:t xml:space="preserve">Origen 28/10/2026</w:t>
        </w:r>
      </w:hyperlink>
      <w:r>
        <w:rPr>
          <w:sz w:val="19"/>
          <w:szCs w:val="19"/>
        </w:rPr>
        <w:t xml:space="preserve">   ·   </w:t>
      </w:r>
      <w:hyperlink w:history="1" r:id="rIdbmgjurp4qxqhlje-zu_er">
        <w:r>
          <w:rPr>
            <w:rStyle w:val="Hyperlink"/>
            <w:sz w:val="19"/>
            <w:szCs w:val="19"/>
          </w:rPr>
          <w:t xml:space="preserve">Comisión 28/10/2026</w:t>
        </w:r>
      </w:hyperlink>
      <w:r>
        <w:rPr>
          <w:sz w:val="19"/>
          <w:szCs w:val="19"/>
        </w:rPr>
        <w:t xml:space="preserve">   ·   </w:t>
      </w:r>
      <w:hyperlink w:history="1" r:id="rIdc_y9ub9hzfbnky1czcwfq">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objeto, ámbito e inclusión, pp. 7–8.</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1"/>
        <w:keepNext/>
        <w:spacing w:after="160" w:before="340"/>
      </w:pPr>
      <w:r>
        <w:t xml:space="preserve">Comisión pendiente de verificación</w:t>
      </w:r>
    </w:p>
    <w:p>
      <w:pPr>
        <w:pStyle w:val="Heading2"/>
        <w:keepNext/>
        <w:spacing w:after="120" w:before="280"/>
      </w:pPr>
      <w:r>
        <w:t xml:space="preserve">PAL 009 de 2026 Senado</w:t>
      </w:r>
    </w:p>
    <w:p>
      <w:pPr>
        <w:keepNext/>
        <w:widowControl/>
        <w:spacing w:after="160" w:line="276"/>
      </w:pPr>
      <w:r>
        <w:rPr>
          <w:b/>
          <w:bCs/>
          <w:color w:val="000000"/>
          <w:sz w:val="24"/>
          <w:szCs w:val="24"/>
        </w:rPr>
        <w:t xml:space="preserve">Puerto Colombia · distrito turístico, cultural, histórico y de tecnología</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Acto legislativo · reforma constitucional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en plenaria del Senado, primera vuelta de acto legislativo.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Senado de la República · iniciativa congresional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Pendiente de verificar reparto o comisión de trámite.</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27 de octubre de 2026, 15:00 hora de Bogotá. Citada.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Los autores justifican la categoría distrital para Puerto Colombia por su pasado portuario y comercial, su patrimonio histórico y cultural y su potencial turístico y tecnológico. Consideran que el nuevo régimen proporcionaría instrumentos de planificación y gestión para impulsar ese desarrollo; son beneficios esperados de la reforma, no resultados garantizados.</w:t>
      </w:r>
    </w:p>
    <w:p>
      <w:pPr>
        <w:pStyle w:val="Heading2"/>
        <w:keepNext/>
        <w:spacing w:after="80" w:before="200"/>
      </w:pPr>
      <w:r>
        <w:t xml:space="preserve">Objeto del texto radicado</w:t>
      </w:r>
    </w:p>
    <w:p>
      <w:pPr>
        <w:widowControl/>
        <w:spacing w:after="100" w:line="276"/>
      </w:pPr>
      <w:r>
        <w:rPr>
          <w:color w:val="000000"/>
          <w:sz w:val="22"/>
          <w:szCs w:val="22"/>
        </w:rPr>
        <w:t xml:space="preserve">Adiciona los artículos 328 y 356 de la Constitución para organizar a Puerto Colombia como distrito turístico, cultural, histórico y de tecnología; prevé régimen especial y articulación con autoridades nacionales. Texto radicado leído, diferente del soporte actual de ponencia.</w:t>
      </w:r>
    </w:p>
    <w:p>
      <w:pPr>
        <w:pStyle w:val="Heading2"/>
        <w:keepNext/>
        <w:spacing w:after="80" w:before="200"/>
      </w:pPr>
      <w:r>
        <w:t xml:space="preserve">Análisis del soporte actual</w:t>
      </w:r>
    </w:p>
    <w:p>
      <w:pPr>
        <w:widowControl/>
        <w:spacing w:after="100" w:line="276"/>
      </w:pPr>
      <w:r>
        <w:rPr>
          <w:color w:val="000000"/>
          <w:sz w:val="22"/>
          <w:szCs w:val="22"/>
        </w:rPr>
        <w:t xml:space="preserve">La ponencia 1547/2026 adiciona los artículos 328 y 356 constitucionales para organizar a Puerto Colombia como distrito turístico, cultural, histórico y de tecnología. Remite su régimen político, fiscal y administrativo a la Constitución y leyes especiales y prevé coordinación con autoridades nacionales. La etapa es segundo debate en primera vuelta, no reforma constitucional aprobada ni culminación de las dos vueltas.</w:t>
      </w:r>
    </w:p>
    <w:p>
      <w:pPr>
        <w:pStyle w:val="Heading2"/>
        <w:keepNext/>
        <w:spacing w:after="80" w:before="200"/>
      </w:pPr>
      <w:r>
        <w:t xml:space="preserve">Ponentes</w:t>
      </w:r>
    </w:p>
    <w:p>
      <w:pPr>
        <w:widowControl/>
        <w:spacing w:after="100" w:line="276"/>
      </w:pPr>
      <w:r>
        <w:rPr>
          <w:color w:val="000000"/>
          <w:sz w:val="22"/>
          <w:szCs w:val="22"/>
        </w:rPr>
        <w:t xml:space="preserve">Iván Cepeda Castro · ponente para segundo debate en primera vuelta.</w:t>
      </w:r>
    </w:p>
    <w:p>
      <w:pPr>
        <w:pStyle w:val="Heading2"/>
        <w:keepNext/>
        <w:spacing w:after="80" w:before="200"/>
      </w:pPr>
      <w:r>
        <w:t xml:space="preserve">Documentos oficiales</w:t>
      </w:r>
    </w:p>
    <w:p>
      <w:pPr>
        <w:widowControl/>
        <w:spacing w:after="90" w:line="252"/>
      </w:pPr>
      <w:hyperlink w:history="1" r:id="rId8y9zyxllo_qld5svbiobm">
        <w:r>
          <w:rPr>
            <w:rStyle w:val="Hyperlink"/>
            <w:sz w:val="19"/>
            <w:szCs w:val="19"/>
          </w:rPr>
          <w:t xml:space="preserve">Orden o soporte de sesión</w:t>
        </w:r>
      </w:hyperlink>
      <w:r>
        <w:rPr>
          <w:sz w:val="19"/>
          <w:szCs w:val="19"/>
        </w:rPr>
        <w:t xml:space="preserve">   ·   </w:t>
      </w:r>
      <w:hyperlink w:history="1" r:id="rIdlmy0ryve-uagwvpb9_g4t">
        <w:r>
          <w:rPr>
            <w:rStyle w:val="Hyperlink"/>
            <w:sz w:val="19"/>
            <w:szCs w:val="19"/>
          </w:rPr>
          <w:t xml:space="preserve">Texto radicado</w:t>
        </w:r>
      </w:hyperlink>
      <w:r>
        <w:rPr>
          <w:sz w:val="19"/>
          <w:szCs w:val="19"/>
        </w:rPr>
        <w:t xml:space="preserve">   ·   </w:t>
      </w:r>
      <w:hyperlink w:history="1" r:id="rIdbhc50fb5vymfytbismad2">
        <w:r>
          <w:rPr>
            <w:rStyle w:val="Hyperlink"/>
            <w:sz w:val="19"/>
            <w:szCs w:val="19"/>
          </w:rPr>
          <w:t xml:space="preserve">Ponencia o soporte actual</w:t>
        </w:r>
      </w:hyperlink>
      <w:r>
        <w:rPr>
          <w:sz w:val="19"/>
          <w:szCs w:val="19"/>
        </w:rPr>
        <w:t xml:space="preserve">   ·   </w:t>
      </w:r>
      <w:hyperlink w:history="1" r:id="rIdordxqkntmbapksxskfwa6">
        <w:r>
          <w:rPr>
            <w:rStyle w:val="Hyperlink"/>
            <w:sz w:val="19"/>
            <w:szCs w:val="19"/>
          </w:rPr>
          <w:t xml:space="preserve">Fuente de ponentes</w:t>
        </w:r>
      </w:hyperlink>
    </w:p>
    <w:p>
      <w:pPr>
        <w:widowControl/>
        <w:spacing w:after="90" w:line="252"/>
      </w:pPr>
      <w:hyperlink w:history="1" r:id="rIdjzcvymbuvkspdmz97znpe">
        <w:r>
          <w:rPr>
            <w:rStyle w:val="Hyperlink"/>
            <w:sz w:val="19"/>
            <w:szCs w:val="19"/>
          </w:rPr>
          <w:t xml:space="preserve">Tipo de ley 25/10/2026</w:t>
        </w:r>
      </w:hyperlink>
      <w:r>
        <w:rPr>
          <w:sz w:val="19"/>
          <w:szCs w:val="19"/>
        </w:rPr>
        <w:t xml:space="preserve">   ·   </w:t>
      </w:r>
      <w:hyperlink w:history="1" r:id="rIdm2bpecdgz70b0frkp2vt6">
        <w:r>
          <w:rPr>
            <w:rStyle w:val="Hyperlink"/>
            <w:sz w:val="19"/>
            <w:szCs w:val="19"/>
          </w:rPr>
          <w:t xml:space="preserve">Estado actual 25/10/2026</w:t>
        </w:r>
      </w:hyperlink>
      <w:r>
        <w:rPr>
          <w:sz w:val="19"/>
          <w:szCs w:val="19"/>
        </w:rPr>
        <w:t xml:space="preserve">   ·   </w:t>
      </w:r>
      <w:hyperlink w:history="1" r:id="rIdbm9mkqt_w0ass9lyifg_x">
        <w:r>
          <w:rPr>
            <w:rStyle w:val="Hyperlink"/>
            <w:sz w:val="19"/>
            <w:szCs w:val="19"/>
          </w:rPr>
          <w:t xml:space="preserve">Origen 28/10/2026</w:t>
        </w:r>
      </w:hyperlink>
      <w:r>
        <w:rPr>
          <w:sz w:val="19"/>
          <w:szCs w:val="19"/>
        </w:rPr>
        <w:t xml:space="preserve">   ·   </w:t>
      </w:r>
      <w:hyperlink w:history="1" r:id="rIdcv8qlfvmfnampjw-fy07b">
        <w:r>
          <w:rPr>
            <w:rStyle w:val="Hyperlink"/>
            <w:sz w:val="19"/>
            <w:szCs w:val="19"/>
          </w:rPr>
          <w:t xml:space="preserve">Breve exposición de motivos 28/10/2026</w:t>
        </w:r>
      </w:hyperlink>
    </w:p>
    <w:p>
      <w:pPr>
        <w:widowControl/>
        <w:spacing w:after="80" w:line="276"/>
      </w:pPr>
      <w:r>
        <w:rPr>
          <w:color w:val="000000"/>
          <w:sz w:val="19"/>
          <w:szCs w:val="19"/>
        </w:rPr>
        <w:t xml:space="preserve">Texto radicado, Exposición de motivos, motivación y objeto, p. 8.</w:t>
      </w:r>
    </w:p>
    <w:p>
      <w:pPr>
        <w:widowControl/>
        <w:spacing w:after="120" w:line="276"/>
      </w:pPr>
      <w:r>
        <w:rPr>
          <w:color w:val="000000"/>
          <w:sz w:val="18"/>
          <w:szCs w:val="18"/>
        </w:rPr>
        <w:t xml:space="preserve">Contenido de la sesión verificado el 25 de octubre de 2026. Texto radicado verificado el 25 de octubre de 2026.</w:t>
      </w:r>
    </w:p>
    <w:p>
      <w:pPr>
        <w:pStyle w:val="Heading2"/>
        <w:keepNext/>
        <w:spacing w:after="120" w:before="280"/>
      </w:pPr>
      <w:r>
        <w:t xml:space="preserve">PL 111 de 2026 Senado / 152 de 2026 Cámara</w:t>
      </w:r>
    </w:p>
    <w:p>
      <w:pPr>
        <w:keepNext/>
        <w:widowControl/>
        <w:spacing w:after="160" w:line="276"/>
      </w:pPr>
      <w:r>
        <w:rPr>
          <w:b/>
          <w:bCs/>
          <w:color w:val="000000"/>
          <w:sz w:val="24"/>
          <w:szCs w:val="24"/>
        </w:rPr>
        <w:t xml:space="preserve">Presupuesto General de la Nación 2027</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160"/>
        <w:gridCol w:w="7200"/>
      </w:tblGrid>
      <w:tr>
        <w:trPr>
          <w:tblHeader/>
        </w:trPr>
        <w:tc>
          <w:tcPr>
            <w:tcW w:type="dxa" w:w="216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Campo</w:t>
            </w:r>
          </w:p>
        </w:tc>
        <w:tc>
          <w:tcPr>
            <w:tcW w:type="dxa" w:w="7200"/>
            <w:shd w:fill="EEEEEE" w:val="clear"/>
            <w:tcMar>
              <w:top w:type="dxa" w:w="110"/>
              <w:left w:type="dxa" w:w="140"/>
              <w:bottom w:type="dxa" w:w="100"/>
              <w:right w:type="dxa" w:w="140"/>
            </w:tcMar>
            <w:vAlign w:val="center"/>
          </w:tcPr>
          <w:p>
            <w:pPr>
              <w:widowControl/>
              <w:spacing w:after="0" w:line="276"/>
            </w:pPr>
            <w:r>
              <w:rPr>
                <w:b/>
                <w:bCs/>
                <w:color w:val="000000"/>
                <w:sz w:val="21"/>
                <w:szCs w:val="21"/>
              </w:rPr>
              <w:t xml:space="preserve">Información del proyecto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Tipo de ley</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Pendiente de verificar la clasificación oficial.</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Estado actual</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Último estado documentado: Segundo debate Senado aprobado el 19/10; textos de plenarias sin conciliación. Decreto 1599 del 22/10 sobre primer debate conjunto, texto íntegro verificado el 23/10; consolidado Cámara pendiente. No se presume un resultado posterior al soporte consultado.</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Origen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Pendiente de verificar cámara de origen e iniciativa.</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Comisión</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Pendiente de verificar reparto o comisión de trámite.</w:t>
            </w:r>
          </w:p>
        </w:tc>
      </w:tr>
      <w:tr>
        <w:trPr>
          <w:cantSplit/>
        </w:trPr>
        <w:tc>
          <w:tcPr>
            <w:tcW w:type="dxa" w:w="2160"/>
            <w:tcMar>
              <w:top w:type="dxa" w:w="100"/>
              <w:left w:type="dxa" w:w="140"/>
              <w:bottom w:type="dxa" w:w="100"/>
              <w:right w:type="dxa" w:w="140"/>
            </w:tcMar>
            <w:vAlign w:val="center"/>
          </w:tcPr>
          <w:p>
            <w:pPr>
              <w:widowControl/>
              <w:spacing w:after="0" w:line="276"/>
            </w:pPr>
            <w:r>
              <w:rPr>
                <w:b/>
                <w:bCs/>
                <w:color w:val="000000"/>
                <w:sz w:val="21"/>
                <w:szCs w:val="21"/>
              </w:rPr>
              <w:t xml:space="preserve">Sesión y actividad</w:t>
            </w:r>
          </w:p>
        </w:tc>
        <w:tc>
          <w:tcPr>
            <w:tcW w:type="dxa" w:w="7200"/>
            <w:tcMar>
              <w:top w:type="dxa" w:w="100"/>
              <w:left w:type="dxa" w:w="140"/>
              <w:bottom w:type="dxa" w:w="100"/>
              <w:right w:type="dxa" w:w="140"/>
            </w:tcMar>
            <w:vAlign w:val="center"/>
          </w:tcPr>
          <w:p>
            <w:pPr>
              <w:widowControl/>
              <w:spacing w:after="0" w:line="276"/>
            </w:pPr>
            <w:r>
              <w:rPr>
                <w:b w:val="false"/>
                <w:bCs w:val="false"/>
                <w:color w:val="000000"/>
                <w:sz w:val="21"/>
                <w:szCs w:val="21"/>
              </w:rPr>
              <w:t xml:space="preserve">Plenaria del Senado del 19 de octubre de 2026, 09:00 hora de Bogotá. Realizada. Recinto de la Plenaria del Senado · Capitolio Nacional. Discusión y votación previstas.</w:t>
            </w:r>
          </w:p>
        </w:tc>
      </w:tr>
    </w:tbl>
    <w:p>
      <w:pPr>
        <w:pStyle w:val="Heading2"/>
        <w:keepNext/>
        <w:spacing w:after="80" w:before="200"/>
      </w:pPr>
      <w:r>
        <w:t xml:space="preserve">Breve exposición de motivos</w:t>
      </w:r>
    </w:p>
    <w:p>
      <w:pPr>
        <w:widowControl/>
        <w:spacing w:after="100" w:line="276"/>
      </w:pPr>
      <w:r>
        <w:rPr>
          <w:color w:val="000000"/>
          <w:sz w:val="22"/>
          <w:szCs w:val="22"/>
        </w:rPr>
        <w:t xml:space="preserve">Pendiente de verificar la exposición de motivos del texto radicado o su soporte oficial.</w:t>
      </w:r>
    </w:p>
    <w:p>
      <w:pPr>
        <w:pStyle w:val="Heading2"/>
        <w:keepNext/>
        <w:spacing w:after="80" w:before="200"/>
      </w:pPr>
      <w:r>
        <w:t xml:space="preserve">Objeto del texto radicado</w:t>
      </w:r>
    </w:p>
    <w:p>
      <w:pPr>
        <w:widowControl/>
        <w:spacing w:after="100" w:line="276"/>
      </w:pPr>
      <w:r>
        <w:rPr>
          <w:color w:val="000000"/>
          <w:sz w:val="22"/>
          <w:szCs w:val="22"/>
        </w:rPr>
        <w:t xml:space="preserve">Fija las rentas y recursos de capital, las apropiaciones para funcionamiento, inversión y deuda pública, y las reglas de ejecución del Presupuesto General de la Nación para 2027. Se enlaza la radicación inicial del 29 de julio de 2026; sus montos y articulado pueden diferir de los aprobados después.</w:t>
      </w:r>
    </w:p>
    <w:p>
      <w:pPr>
        <w:pStyle w:val="Heading2"/>
        <w:keepNext/>
        <w:spacing w:after="80" w:before="200"/>
      </w:pPr>
      <w:r>
        <w:t xml:space="preserve">Análisis del soporte actual</w:t>
      </w:r>
    </w:p>
    <w:p>
      <w:pPr>
        <w:widowControl/>
        <w:spacing w:after="100" w:line="276"/>
      </w:pPr>
      <w:r>
        <w:rPr>
          <w:color w:val="000000"/>
          <w:sz w:val="22"/>
          <w:szCs w:val="22"/>
        </w:rPr>
        <w:t xml:space="preserve">El PL 111 de 2026 Senado / 152 de 2026 Cámara fija ingresos y apropiaciones para funcionamiento, inversión y deuda de 2027. Senado lo aprobó el 19/10; Gaceta 1609 del 21/10 publica 98 artículos y $634.952.040.871.099. Ante textos de plenarias distintos sin conciliación en plazo, el Decreto 1599 del 22/10 invoca el proyecto gubernamental con las modificaciones de primer debate. El 23/10 se verificó su copia oficial íntegra en PTE: 76 páginas, 90 artículos y el mismo monto global en sus artículos 1–2.</w:t>
      </w:r>
    </w:p>
    <w:p>
      <w:pPr>
        <w:widowControl/>
        <w:spacing w:after="100" w:line="276"/>
      </w:pPr>
      <w:r>
        <w:rPr>
          <w:color w:val="000000"/>
          <w:sz w:val="22"/>
          <w:szCs w:val="22"/>
        </w:rPr>
        <w:t xml:space="preserve">Su artículo 65 (p.69) permite coberturas conjuntas FEIF/FEPC y atender costos con servicio de deuda si faltan recursos de los fondos; no contiene los dos parágrafos adicionales de evaluación e informes al Congreso publicados por Cámara. Los artículos 84–85 (p.74) permiten reorientar saldos no comprometidos para desastres, con límites al monto global y respeto de obligaciones y destinaciones. Artículo 90 (p.76): vigencia desde publicación y efectos fiscales desde 1/01/2027; fecha de publicación legal no acreditada aquí. Se preserva el debate del 19/10 como antecedente, sin nueva citación.</w:t>
      </w:r>
    </w:p>
    <w:p>
      <w:pPr>
        <w:widowControl/>
        <w:spacing w:after="100" w:line="276"/>
      </w:pPr>
      <w:r>
        <w:rPr>
          <w:color w:val="000000"/>
          <w:sz w:val="22"/>
          <w:szCs w:val="22"/>
        </w:rPr>
        <w:t xml:space="preserve">El texto radicado enlazado corresponde al original del 29/07, no al decreto. Siguen pendientes consolidado Cámara, actas y votaciones nominales completas; no se presume traslación de todo el segundo debate ni comparación exhaustiva de partidas.</w:t>
      </w:r>
    </w:p>
    <w:p>
      <w:pPr>
        <w:pStyle w:val="Heading2"/>
        <w:keepNext/>
        <w:spacing w:after="80" w:before="200"/>
      </w:pPr>
      <w:r>
        <w:t xml:space="preserve">Ponentes</w:t>
      </w:r>
    </w:p>
    <w:p>
      <w:pPr>
        <w:widowControl/>
        <w:spacing w:after="100" w:line="276"/>
      </w:pPr>
      <w:r>
        <w:rPr>
          <w:color w:val="000000"/>
          <w:sz w:val="22"/>
          <w:szCs w:val="22"/>
        </w:rPr>
        <w:t xml:space="preserve">Comisión Cuarta del Senado, segundo debate. Coordinadores: Wilson Neber Arias Castillo; Luis Eduardo Díaz Mateus; Wilmer Ramiro Carrillo Mendoza; Carlos Mario Farelo Daza; Carlos Manuel Meisel Vergara. Ponentes: Aida Yolanda Avella Esquivel; John Alejandro Bermeo Rodríguez; Enrique Cabrales Baquero; Wilder Iberson Escobar Ortiz; Laura Ester Fortich Sánchez; Carlos Eduardo Enríquez Caicedo. Fuente: oficio CCU-CS 212-2026 del 24/09/2026. Otras designaciones de ponencia pendientes de verificación.</w:t>
      </w:r>
    </w:p>
    <w:p>
      <w:pPr>
        <w:pStyle w:val="Heading2"/>
        <w:keepNext/>
        <w:spacing w:after="80" w:before="200"/>
      </w:pPr>
      <w:r>
        <w:t xml:space="preserve">Documentos oficiales</w:t>
      </w:r>
    </w:p>
    <w:p>
      <w:pPr>
        <w:widowControl/>
        <w:spacing w:after="90" w:line="252"/>
      </w:pPr>
      <w:hyperlink w:history="1" r:id="rIdgrnibsl1vfwzby60x7b-p">
        <w:r>
          <w:rPr>
            <w:rStyle w:val="Hyperlink"/>
            <w:sz w:val="19"/>
            <w:szCs w:val="19"/>
          </w:rPr>
          <w:t xml:space="preserve">Orden o soporte de sesión</w:t>
        </w:r>
      </w:hyperlink>
      <w:r>
        <w:rPr>
          <w:sz w:val="19"/>
          <w:szCs w:val="19"/>
        </w:rPr>
        <w:t xml:space="preserve">   ·   </w:t>
      </w:r>
      <w:hyperlink w:history="1" r:id="rIdjn5vozg5w3kwcgfmuljcg">
        <w:r>
          <w:rPr>
            <w:rStyle w:val="Hyperlink"/>
            <w:sz w:val="19"/>
            <w:szCs w:val="19"/>
          </w:rPr>
          <w:t xml:space="preserve">Texto radicado</w:t>
        </w:r>
      </w:hyperlink>
      <w:r>
        <w:rPr>
          <w:sz w:val="19"/>
          <w:szCs w:val="19"/>
        </w:rPr>
        <w:t xml:space="preserve">   ·   </w:t>
      </w:r>
      <w:hyperlink w:history="1" r:id="rIdfu-iw2v15vfksupyqwem3">
        <w:r>
          <w:rPr>
            <w:rStyle w:val="Hyperlink"/>
            <w:sz w:val="19"/>
            <w:szCs w:val="19"/>
          </w:rPr>
          <w:t xml:space="preserve">Ponencia o soporte actual</w:t>
        </w:r>
      </w:hyperlink>
      <w:r>
        <w:rPr>
          <w:sz w:val="19"/>
          <w:szCs w:val="19"/>
        </w:rPr>
        <w:t xml:space="preserve">   ·   </w:t>
      </w:r>
      <w:hyperlink w:history="1" r:id="rId4j2vtr_mvnlwid5zmocka">
        <w:r>
          <w:rPr>
            <w:rStyle w:val="Hyperlink"/>
            <w:sz w:val="19"/>
            <w:szCs w:val="19"/>
          </w:rPr>
          <w:t xml:space="preserve">Fuente de ponentes</w:t>
        </w:r>
      </w:hyperlink>
    </w:p>
    <w:p>
      <w:pPr>
        <w:widowControl/>
        <w:spacing w:after="90" w:line="252"/>
      </w:pPr>
      <w:hyperlink w:history="1" r:id="rIdds4ahkrewyzfenmpdb15d">
        <w:r>
          <w:rPr>
            <w:rStyle w:val="Hyperlink"/>
            <w:sz w:val="19"/>
            <w:szCs w:val="19"/>
          </w:rPr>
          <w:t xml:space="preserve">Estado actual 23/10/2026</w:t>
        </w:r>
      </w:hyperlink>
    </w:p>
    <w:p>
      <w:pPr>
        <w:widowControl/>
        <w:spacing w:after="120" w:line="276"/>
      </w:pPr>
      <w:r>
        <w:rPr>
          <w:color w:val="000000"/>
          <w:sz w:val="18"/>
          <w:szCs w:val="18"/>
        </w:rPr>
        <w:t xml:space="preserve">Contenido de la sesión verificado el 23 de octubre de 2026. Texto radicado verificado el 20 de octubre de 2026.</w:t>
      </w:r>
    </w:p>
    <w:sectPr>
      <w:footerReference w:type="default" r:id="rId6"/>
      <w:pgSz w:w="12240" w:h="15840" w:orient="portrait"/>
      <w:pgMar w:top="1000" w:right="1440" w:bottom="1100" w:left="144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Observatorio Legislativo  |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r>
      <w:rPr>
        <w:sz w:val="16"/>
        <w:szCs w:val="16"/>
      </w:rPr>
      <w:t xml:space="preserve"> / </w:t>
    </w:r>
    <w:r>
      <w:rPr>
        <w:sz w:val="16"/>
        <w:szCs w:val="16"/>
      </w:rPr>
      <w:fldChar w:fldCharType="begin"/>
    </w:r>
    <w:r>
      <w:rPr>
        <w:sz w:val="16"/>
        <w:szCs w:val="16"/>
      </w:rPr>
      <w:instrText xml:space="preserve">NUMPAGES</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180" w:before="0"/>
    </w:pPr>
    <w:rPr>
      <w:rFonts w:ascii="Georgia" w:cs="Georgia" w:eastAsia="Georgia" w:hAnsi="Georgia"/>
      <w:b w:val="false"/>
      <w:bCs w:val="false"/>
      <w:color w:val="000000"/>
      <w:sz w:val="42"/>
      <w:szCs w:val="42"/>
    </w:rPr>
  </w:style>
  <w:style w:type="paragraph" w:styleId="Heading1">
    <w:name w:val="Heading 1"/>
    <w:basedOn w:val="Normal"/>
    <w:next w:val="Normal"/>
    <w:qFormat/>
    <w:pPr>
      <w:keepNext/>
      <w:spacing w:after="160" w:before="100"/>
    </w:pPr>
    <w:rPr>
      <w:rFonts w:ascii="Georgia" w:cs="Georgia" w:eastAsia="Georgia" w:hAnsi="Georgia"/>
      <w:b w:val="false"/>
      <w:bCs w:val="false"/>
      <w:color w:val="000000"/>
      <w:sz w:val="30"/>
      <w:szCs w:val="30"/>
    </w:rPr>
  </w:style>
  <w:style w:type="paragraph" w:styleId="Heading2">
    <w:name w:val="Heading 2"/>
    <w:basedOn w:val="Normal"/>
    <w:next w:val="Normal"/>
    <w:qFormat/>
    <w:pPr>
      <w:keepNext/>
    </w:pPr>
    <w:rPr>
      <w:rFonts w:ascii="Arial" w:cs="Arial" w:eastAsia="Arial" w:hAnsi="Arial"/>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ngpatkygsnnbgreh6_nfh" Type="http://schemas.openxmlformats.org/officeDocument/2006/relationships/hyperlink" Target="https://www.camara.gov.co/wp-content/uploads/2026/10/ORDEN-DEL-DIA-28-DE-OCTUBRE-2026-.pdf" TargetMode="External"/><Relationship Id="rIddewykgg6j-zxkqwxbtyyq" Type="http://schemas.openxmlformats.org/officeDocument/2006/relationships/hyperlink" Target="https://www.camara.gov.co/wp-content/uploads/2026/09/proyectos-ley/documentos/proyecto-36462/P.L.401-2026SC-MODIFICACION-DEL-PRESUPUESTO-GENERAL-DE-LA-NACION.pdf" TargetMode="External"/><Relationship Id="rIdxwbqfjjkxipptoqfzfiva" Type="http://schemas.openxmlformats.org/officeDocument/2006/relationships/hyperlink" Target="https://www.camara.gov.co/wp-content/uploads/2026/10/Adicion-Presupuestal-2026/Comision-Cuarta-Constitucional-Permanente/Ponencia-para-Primer-Debate.pdf" TargetMode="External"/><Relationship Id="rIdclpueakhhcxej4d5unh2g" Type="http://schemas.openxmlformats.org/officeDocument/2006/relationships/hyperlink" Target="https://www.camara.gov.co/comision-cuarta-o-presupuesto/adicion-presupuestal-2026-2/" TargetMode="External"/><Relationship Id="rIdtwv1d4z6p5hlslwximotr" Type="http://schemas.openxmlformats.org/officeDocument/2006/relationships/hyperlink" Target="https://leyes.senado.gov.co/api/get_detalle_pdly.php?id=10204" TargetMode="External"/><Relationship Id="rIduhvwjpgnyk0qflh6odzhc" Type="http://schemas.openxmlformats.org/officeDocument/2006/relationships/hyperlink" Target="https://www.camara.gov.co/wp-content/uploads/2026/10/ORDEN-DEL-DIA-28-DE-OCTUBRE-2026-.pdf" TargetMode="External"/><Relationship Id="rIdgfjtdd1384wjo6scxg2fc" Type="http://schemas.openxmlformats.org/officeDocument/2006/relationships/hyperlink" Target="https://leyes.senado.gov.co/api/get_detalle_pdly.php?id=10204" TargetMode="External"/><Relationship Id="rIdmnwnwlzteotdqfybkhq1p" Type="http://schemas.openxmlformats.org/officeDocument/2006/relationships/hyperlink" Target="https://www.camara.gov.co/wp-content/uploads/2026/10/ORDEN-DEL-DIA-28-DE-OCTUBRE-2026-.pdf" TargetMode="External"/><Relationship Id="rId-ebbpbq2qxx8mwufb0g6u" Type="http://schemas.openxmlformats.org/officeDocument/2006/relationships/hyperlink" Target="https://www.camara.gov.co/wp-content/uploads/2026/09/proyectos-ley/documentos/proyecto-36462/P.L.401-2026SC-MODIFICACION-DEL-PRESUPUESTO-GENERAL-DE-LA-NACION.pdf" TargetMode="External"/><Relationship Id="rIdotlwpeu5dxnbgvjbcitjy" Type="http://schemas.openxmlformats.org/officeDocument/2006/relationships/hyperlink" Target="https://www.camara.gov.co/wp-content/uploads/2026/10/ORDEN-DEL-DIA-MARTES-27-DE-OCTUBRE-D-E-2026-Modificado.pdf" TargetMode="External"/><Relationship Id="rIdnzacnuv5rsff25quienlw" Type="http://schemas.openxmlformats.org/officeDocument/2006/relationships/hyperlink" Target="https://www.camara.gov.co/wp-content/uploads/2026/10/proyectos-ley/documentos/proyecto-36474/PL-Presupuesto-SGR-2027-2028.pdf" TargetMode="External"/><Relationship Id="rIdnpixu9erjglevg_qs17tn" Type="http://schemas.openxmlformats.org/officeDocument/2006/relationships/hyperlink" Target="https://www.camara.gov.co/wp-content/uploads/2026/10/ORDEN-DEL-DIA-MARTES-27-DE-OCTUBRE-D-E-2026-Modificado.pdf" TargetMode="External"/><Relationship Id="rIdxer81e4gtmgibw2cv-roo" Type="http://schemas.openxmlformats.org/officeDocument/2006/relationships/hyperlink" Target="https://www.camara.gov.co/comision-cuarta-o-presupuesto/regalias-bienio-2027-2028/" TargetMode="External"/><Relationship Id="rIdkakvtknd3jrw7srys1tri" Type="http://schemas.openxmlformats.org/officeDocument/2006/relationships/hyperlink" Target="https://leyes.senado.gov.co/api/get_detalle_pdly.php?id=10214" TargetMode="External"/><Relationship Id="rIdj14tcbf2mgb3jrikurbk8" Type="http://schemas.openxmlformats.org/officeDocument/2006/relationships/hyperlink" Target="https://www.camara.gov.co/comisiones-economicas-avanzan-en-estudio-de-leyes-de-adicion-y-presupuesto-de-regalias/" TargetMode="External"/><Relationship Id="rId-o5rgspwcssefznz-mtol" Type="http://schemas.openxmlformats.org/officeDocument/2006/relationships/hyperlink" Target="https://leyes.senado.gov.co/api/get_detalle_pdly.php?id=10214" TargetMode="External"/><Relationship Id="rIdjsprcoewqmytuqu6vl3ks" Type="http://schemas.openxmlformats.org/officeDocument/2006/relationships/hyperlink" Target="https://www.camara.gov.co/wp-content/uploads/2026/10/ORDEN-DEL-DIA-MARTES-27-DE-OCTUBRE-D-E-2026-Modificado.pdf" TargetMode="External"/><Relationship Id="rIdcm8dxmg0nipqee95xzz9x" Type="http://schemas.openxmlformats.org/officeDocument/2006/relationships/hyperlink" Target="https://www.camara.gov.co/wp-content/uploads/2026/10/proyectos-ley/documentos/proyecto-36474/PL-Presupuesto-SGR-2027-2028.pdf" TargetMode="External"/><Relationship Id="rId9-g_t8ab9y3vmosstvkms" Type="http://schemas.openxmlformats.org/officeDocument/2006/relationships/hyperlink" Target="https://svrpubindc.imprenta.gov.co/senado/index2.xhtml?ent=Senado&amp;fec=23-09-2026&amp;num=1378" TargetMode="External"/><Relationship Id="rIdybmw3askndmshjx_lf7fl" Type="http://schemas.openxmlformats.org/officeDocument/2006/relationships/hyperlink" Target="https://leyes.senado.gov.co/p-ley/2025-2026/PL%20223-2025%20-%20BEBIDAS%20ALCOHOLICAS.pdf" TargetMode="External"/><Relationship Id="rIdhc70ge5qod1je9x04ujfr" Type="http://schemas.openxmlformats.org/officeDocument/2006/relationships/hyperlink" Target="https://svrpubindc.imprenta.gov.co/senado/index2.xhtml?ent=Senado&amp;fec=03-06-2026&amp;num=612" TargetMode="External"/><Relationship Id="rIdv8nobzc8qbnon233kqrmy" Type="http://schemas.openxmlformats.org/officeDocument/2006/relationships/hyperlink" Target="https://leyes.senado.gov.co/api/get_detalle_pdly.php?id=9762" TargetMode="External"/><Relationship Id="rIdzbv7nx4reui19qyw89xjw" Type="http://schemas.openxmlformats.org/officeDocument/2006/relationships/hyperlink" Target="https://leyes.senado.gov.co/api/get_detalle_pdly.php?id=9762" TargetMode="External"/><Relationship Id="rIdwpfck9zv4ue6ddjbavmi-" Type="http://schemas.openxmlformats.org/officeDocument/2006/relationships/hyperlink" Target="https://svrpubindc.imprenta.gov.co/senado/index2.xhtml?ent=Senado&amp;fec=23-09-2026&amp;num=1378" TargetMode="External"/><Relationship Id="rIds5rtknoo0kvr7qxykjqz5" Type="http://schemas.openxmlformats.org/officeDocument/2006/relationships/hyperlink" Target="https://leyes.senado.gov.co/api/get_detalle_pdly.php?id=9762" TargetMode="External"/><Relationship Id="rIdyk14pexdtk-qf3riccvio" Type="http://schemas.openxmlformats.org/officeDocument/2006/relationships/hyperlink" Target="https://leyes.senado.gov.co/api/get_detalle_pdly.php?id=9762" TargetMode="External"/><Relationship Id="rIdanmnrmmrjhtqitj9whyyv" Type="http://schemas.openxmlformats.org/officeDocument/2006/relationships/hyperlink" Target="https://leyes.senado.gov.co/p-ley/2025-2026/PL%20223-2025%20-%20BEBIDAS%20ALCOHOLICAS.pdf" TargetMode="External"/><Relationship Id="rIdn6stauoazqrm3zbqe0vvi" Type="http://schemas.openxmlformats.org/officeDocument/2006/relationships/hyperlink" Target="https://svrpubindc.imprenta.gov.co/senado/index2.xhtml?ent=Senado&amp;fec=23-09-2026&amp;num=1378" TargetMode="External"/><Relationship Id="rIdqxkkexypkkh0rgk2bdoou" Type="http://schemas.openxmlformats.org/officeDocument/2006/relationships/hyperlink" Target="https://leyes.senado.gov.co/p-ley/2025-2026/PL%20295-2025%20-%20INCOMPATIBILIDAD%20SOBREVINIENTE%20NUEVA.pdf" TargetMode="External"/><Relationship Id="rIdg_z1zy7p8kmjcz8px0aae" Type="http://schemas.openxmlformats.org/officeDocument/2006/relationships/hyperlink" Target="https://svrpubindc.imprenta.gov.co/senado/index2.xhtml?ent=Senado&amp;fec=10-11-2025&amp;num=2127" TargetMode="External"/><Relationship Id="rIdcpnddqqziseeakf0wchfs" Type="http://schemas.openxmlformats.org/officeDocument/2006/relationships/hyperlink" Target="https://leyes.senado.gov.co/api/get_detalle_pdly.php?id=9834" TargetMode="External"/><Relationship Id="rIdfmrcutumeuipop2aiuuva" Type="http://schemas.openxmlformats.org/officeDocument/2006/relationships/hyperlink" Target="https://svrpubindc.imprenta.gov.co/senado/index2.xhtml?ent=Senado&amp;fec=23-09-2026&amp;num=1378" TargetMode="External"/><Relationship Id="rIdlwf202nmknefbp7-ovias" Type="http://schemas.openxmlformats.org/officeDocument/2006/relationships/hyperlink" Target="https://leyes.senado.gov.co/api/get_detalle_pdly.php?id=9834" TargetMode="External"/><Relationship Id="rIdyjlq2dz470ox7rivp7gr6" Type="http://schemas.openxmlformats.org/officeDocument/2006/relationships/hyperlink" Target="https://leyes.senado.gov.co/api/get_detalle_pdly.php?id=9834" TargetMode="External"/><Relationship Id="rIddbgws_rv8bqe4h6zceb4c" Type="http://schemas.openxmlformats.org/officeDocument/2006/relationships/hyperlink" Target="https://leyes.senado.gov.co/p-ley/2025-2026/PL%20295-2025%20-%20INCOMPATIBILIDAD%20SOBREVINIENTE%20NUEVA.pdf" TargetMode="External"/><Relationship Id="rIdfhvlqlwjmzw-jpcwkccvb" Type="http://schemas.openxmlformats.org/officeDocument/2006/relationships/hyperlink" Target="https://svrpubindc.imprenta.gov.co/senado/index2.xhtml?ent=Senado&amp;fec=23-09-2026&amp;num=1378" TargetMode="External"/><Relationship Id="rIdf0trr6foaigsr0na_hasz" Type="http://schemas.openxmlformats.org/officeDocument/2006/relationships/hyperlink" Target="https://leyes.senado.gov.co/p-ley/2025-2026/PL%20011-25%20-%20ACHI.pdf" TargetMode="External"/><Relationship Id="rIdx6itqd0x1q-kv0mnczosd" Type="http://schemas.openxmlformats.org/officeDocument/2006/relationships/hyperlink" Target="https://svrpubindc.imprenta.gov.co/senado/index2.xhtml?ent=Senado&amp;fec=15-09-2026&amp;num=1288" TargetMode="External"/><Relationship Id="rIdoyl61orxx9byrtieey5ea" Type="http://schemas.openxmlformats.org/officeDocument/2006/relationships/hyperlink" Target="https://www.secretariasenado.gov.co/orden-del-dia-senado/18452-orden-del-dia-20-de-octubre-2026-261019-230121/file" TargetMode="External"/><Relationship Id="rIdq8gyfsl87adxlexxkjfhk" Type="http://schemas.openxmlformats.org/officeDocument/2006/relationships/hyperlink" Target="https://leyes.senado.gov.co/api/get_detalle_pdly.php?id=9550" TargetMode="External"/><Relationship Id="rIdfjt_1xu2jsffstpwqv-b7" Type="http://schemas.openxmlformats.org/officeDocument/2006/relationships/hyperlink" Target="https://svrpubindc.imprenta.gov.co/senado/index2.xhtml?ent=Senado&amp;fec=23-09-2026&amp;num=1378" TargetMode="External"/><Relationship Id="rId9faoc4cda_ckgruvbrf8s" Type="http://schemas.openxmlformats.org/officeDocument/2006/relationships/hyperlink" Target="https://leyes.senado.gov.co/api/get_detalle_pdly.php?id=9550" TargetMode="External"/><Relationship Id="rIdrxqzmmjzijtnz5jbsrecm" Type="http://schemas.openxmlformats.org/officeDocument/2006/relationships/hyperlink" Target="https://leyes.senado.gov.co/api/get_detalle_pdly.php?id=9550" TargetMode="External"/><Relationship Id="rId4syheunu-x6i9t8j1z0r0" Type="http://schemas.openxmlformats.org/officeDocument/2006/relationships/hyperlink" Target="https://leyes.senado.gov.co/p-ley/2025-2026/PL%20011-25%20-%20ACHI.pdf" TargetMode="External"/><Relationship Id="rIdjzvchs6saxzniz7ocnkxa" Type="http://schemas.openxmlformats.org/officeDocument/2006/relationships/hyperlink" Target="https://svrpubindc.imprenta.gov.co/senado/index2.xhtml?ent=Senado&amp;fec=23-09-2026&amp;num=1378" TargetMode="External"/><Relationship Id="rIdbairkh7fvtq-2-bpjukbw" Type="http://schemas.openxmlformats.org/officeDocument/2006/relationships/hyperlink" Target="https://leyes.senado.gov.co/p-ley/2025-2026/PL%20197-2025%20-%20PATIA.pdf" TargetMode="External"/><Relationship Id="rIdg8q5j-xuaib4z870d6ltt" Type="http://schemas.openxmlformats.org/officeDocument/2006/relationships/hyperlink" Target="https://svrpubindc.imprenta.gov.co/senado/index2.xhtml?ent=Senado&amp;fec=17-09-2026&amp;num=1324" TargetMode="External"/><Relationship Id="rIdiuzucubh3vto4ktkv-kbw" Type="http://schemas.openxmlformats.org/officeDocument/2006/relationships/hyperlink" Target="https://leyes.senado.gov.co/api/get_detalle_pdly.php?id=9736" TargetMode="External"/><Relationship Id="rIdjvvbpyveyd9af5sd_sl4d" Type="http://schemas.openxmlformats.org/officeDocument/2006/relationships/hyperlink" Target="https://leyes.senado.gov.co/api/get_detalle_pdly.php?id=9736" TargetMode="External"/><Relationship Id="rIddh1_bkw8paobcwae664kv" Type="http://schemas.openxmlformats.org/officeDocument/2006/relationships/hyperlink" Target="https://svrpubindc.imprenta.gov.co/senado/index2.xhtml?ent=Senado&amp;fec=23-09-2026&amp;num=1378" TargetMode="External"/><Relationship Id="rIdf7sj89ocwpdttwixbkkqi" Type="http://schemas.openxmlformats.org/officeDocument/2006/relationships/hyperlink" Target="https://leyes.senado.gov.co/api/get_detalle_pdly.php?id=9736" TargetMode="External"/><Relationship Id="rId67c_0mezp8n2_p9_8fasi" Type="http://schemas.openxmlformats.org/officeDocument/2006/relationships/hyperlink" Target="https://leyes.senado.gov.co/api/get_detalle_pdly.php?id=9736" TargetMode="External"/><Relationship Id="rIdko9jyclevtrv4xn-h7sgv" Type="http://schemas.openxmlformats.org/officeDocument/2006/relationships/hyperlink" Target="https://leyes.senado.gov.co/p-ley/2025-2026/PL%20197-2025%20-%20PATIA.pdf" TargetMode="External"/><Relationship Id="rId0zhkonabyewam7vcgeohq" Type="http://schemas.openxmlformats.org/officeDocument/2006/relationships/hyperlink" Target="https://svrpubindc.imprenta.gov.co/senado/index2.xhtml?ent=Senado&amp;fec=23-09-2026&amp;num=1378" TargetMode="External"/><Relationship Id="rIdu7_5mhcqj8fsjyvv3fn9f" Type="http://schemas.openxmlformats.org/officeDocument/2006/relationships/hyperlink" Target="https://leyes.senado.gov.co/p-ley/2026-2027/PL%20087-2026%20-%20SAN%20BENITO%20ABAB.pdf" TargetMode="External"/><Relationship Id="rIdlfz4vvnpapckw64gnpusy" Type="http://schemas.openxmlformats.org/officeDocument/2006/relationships/hyperlink" Target="https://svrpubindc.imprenta.gov.co/senado/index2.xhtml?ent=Senado&amp;fec=23-09-2026&amp;num=1378" TargetMode="External"/><Relationship Id="rIdqxgvrlc90hjnzlbfydtjx" Type="http://schemas.openxmlformats.org/officeDocument/2006/relationships/hyperlink" Target="https://svrpubindc.imprenta.gov.co/senado/index2.xhtml?ent=Senado&amp;fec=23-09-2026&amp;num=1378" TargetMode="External"/><Relationship Id="rIdsvzupplwufcxdz0cy9gud" Type="http://schemas.openxmlformats.org/officeDocument/2006/relationships/hyperlink" Target="https://leyes.senado.gov.co/api/get_detalle_pdly.php?id=10010" TargetMode="External"/><Relationship Id="rIdjkbsxjajmxfec6p3xhkuu" Type="http://schemas.openxmlformats.org/officeDocument/2006/relationships/hyperlink" Target="https://svrpubindc.imprenta.gov.co/senado/index2.xhtml?ent=Senado&amp;fec=23-09-2026&amp;num=1378" TargetMode="External"/><Relationship Id="rIdjq47gia7xoldgh9lqvgdp" Type="http://schemas.openxmlformats.org/officeDocument/2006/relationships/hyperlink" Target="https://leyes.senado.gov.co/api/get_detalle_pdly.php?id=10010" TargetMode="External"/><Relationship Id="rIdt2rftfqbpkr8gbdfjoul-" Type="http://schemas.openxmlformats.org/officeDocument/2006/relationships/hyperlink" Target="https://leyes.senado.gov.co/api/get_detalle_pdly.php?id=10010" TargetMode="External"/><Relationship Id="rId5vnndpg5ucvr3xtp0tr-d" Type="http://schemas.openxmlformats.org/officeDocument/2006/relationships/hyperlink" Target="https://leyes.senado.gov.co/p-ley/2026-2027/PL%20087-2026%20-%20SAN%20BENITO%20ABAB.pdf" TargetMode="External"/><Relationship Id="rIdlf6zj6giyaqeg3rs_oje_" Type="http://schemas.openxmlformats.org/officeDocument/2006/relationships/hyperlink" Target="https://svrpubindc.imprenta.gov.co/senado/index2.xhtml?ent=Senado&amp;fec=23-09-2026&amp;num=1378" TargetMode="External"/><Relationship Id="rIdv_8nbtwep6jy01gxl4nqw" Type="http://schemas.openxmlformats.org/officeDocument/2006/relationships/hyperlink" Target="https://leyes.senado.gov.co/p-ley/2026-2027/PL%20088-2026%20-%20SANTA%20CRUZ%20DE%20LORICA.pdf" TargetMode="External"/><Relationship Id="rId6kim2oyhliyezmw8md-be" Type="http://schemas.openxmlformats.org/officeDocument/2006/relationships/hyperlink" Target="https://svrpubindc.imprenta.gov.co/senado/index2.xhtml?ent=Senado&amp;fec=23-09-2026&amp;num=1378" TargetMode="External"/><Relationship Id="rIdzfzct7jyhw7qw6jspelya" Type="http://schemas.openxmlformats.org/officeDocument/2006/relationships/hyperlink" Target="https://svrpubindc.imprenta.gov.co/senado/index2.xhtml?ent=Senado&amp;fec=23-09-2026&amp;num=1378" TargetMode="External"/><Relationship Id="rIdtgai2n0fqbh1k6pvrpbdb" Type="http://schemas.openxmlformats.org/officeDocument/2006/relationships/hyperlink" Target="https://leyes.senado.gov.co/api/get_detalle_pdly.php?id=10011" TargetMode="External"/><Relationship Id="rId7mmo8pon_b0mpnxvjmjcn" Type="http://schemas.openxmlformats.org/officeDocument/2006/relationships/hyperlink" Target="https://svrpubindc.imprenta.gov.co/senado/index2.xhtml?ent=Senado&amp;fec=23-09-2026&amp;num=1378" TargetMode="External"/><Relationship Id="rIdf7bmt7jvdb-rkzdphuvdg" Type="http://schemas.openxmlformats.org/officeDocument/2006/relationships/hyperlink" Target="https://leyes.senado.gov.co/api/get_detalle_pdly.php?id=10011" TargetMode="External"/><Relationship Id="rIdb9_7czr1kihuc4lciitk_" Type="http://schemas.openxmlformats.org/officeDocument/2006/relationships/hyperlink" Target="https://leyes.senado.gov.co/api/get_detalle_pdly.php?id=10011" TargetMode="External"/><Relationship Id="rIdsqzroc251az1do6me82iv" Type="http://schemas.openxmlformats.org/officeDocument/2006/relationships/hyperlink" Target="https://leyes.senado.gov.co/p-ley/2026-2027/PL%20088-2026%20-%20SANTA%20CRUZ%20DE%20LORICA.pdf" TargetMode="External"/><Relationship Id="rIdqr6polamaqg7q2gpztcgq" Type="http://schemas.openxmlformats.org/officeDocument/2006/relationships/hyperlink" Target="https://svrpubindc.imprenta.gov.co/senado/index2.xhtml?ent=Senado&amp;fec=23-09-2026&amp;num=1378" TargetMode="External"/><Relationship Id="rIdoucpndrdkj74brcw0qhoh" Type="http://schemas.openxmlformats.org/officeDocument/2006/relationships/hyperlink" Target="https://leyes.senado.gov.co/p-ley/2026-2027/PL%20089-2026%20-%20DIA%20DE%20LA%20BARACUNATA.pdf" TargetMode="External"/><Relationship Id="rIdt0x4i13jex2z0xk0fs2rj" Type="http://schemas.openxmlformats.org/officeDocument/2006/relationships/hyperlink" Target="https://svrpubindc.imprenta.gov.co/senado/index2.xhtml?ent=Senado&amp;fec=23-09-2026&amp;num=1378" TargetMode="External"/><Relationship Id="rIdyzuuusfnbgf4irndctgj6" Type="http://schemas.openxmlformats.org/officeDocument/2006/relationships/hyperlink" Target="https://svrpubindc.imprenta.gov.co/senado/index2.xhtml?ent=Senado&amp;fec=23-09-2026&amp;num=1378" TargetMode="External"/><Relationship Id="rIdfu7vq9vqadepymd6tmgha" Type="http://schemas.openxmlformats.org/officeDocument/2006/relationships/hyperlink" Target="https://leyes.senado.gov.co/api/get_detalle_pdly.php?id=10012" TargetMode="External"/><Relationship Id="rIdznx7ir7vav0mfzs7hhmwq" Type="http://schemas.openxmlformats.org/officeDocument/2006/relationships/hyperlink" Target="https://svrpubindc.imprenta.gov.co/senado/index2.xhtml?ent=Senado&amp;fec=23-09-2026&amp;num=1378" TargetMode="External"/><Relationship Id="rIdghfr3jpeszp6vc1p045jv" Type="http://schemas.openxmlformats.org/officeDocument/2006/relationships/hyperlink" Target="https://leyes.senado.gov.co/api/get_detalle_pdly.php?id=10012" TargetMode="External"/><Relationship Id="rId2hocfmugdwu3cj_m7qhjs" Type="http://schemas.openxmlformats.org/officeDocument/2006/relationships/hyperlink" Target="https://leyes.senado.gov.co/api/get_detalle_pdly.php?id=10012" TargetMode="External"/><Relationship Id="rIdznwwb_nyb_wwklivk8l4k" Type="http://schemas.openxmlformats.org/officeDocument/2006/relationships/hyperlink" Target="https://leyes.senado.gov.co/p-ley/2026-2027/PL%20089-2026%20-%20DIA%20DE%20LA%20BARACUNATA.pdf" TargetMode="External"/><Relationship Id="rIdoonpsmpqvlhvssa4-efli" Type="http://schemas.openxmlformats.org/officeDocument/2006/relationships/hyperlink" Target="https://svrpubindc.imprenta.gov.co/senado/index2.xhtml?ent=Senado&amp;fec=23-09-2026&amp;num=1378" TargetMode="External"/><Relationship Id="rId2geiwg3iudvdze1vydka9" Type="http://schemas.openxmlformats.org/officeDocument/2006/relationships/hyperlink" Target="https://leyes.senado.gov.co/p-ley/2026-2027/PL%20090-2026%20-%20RIO%20VIEJO.pdf" TargetMode="External"/><Relationship Id="rIdmiympbvcmq2-824ywhbrp" Type="http://schemas.openxmlformats.org/officeDocument/2006/relationships/hyperlink" Target="https://svrpubindc.imprenta.gov.co/senado/index2.xhtml?ent=Senado&amp;fec=23-09-2026&amp;num=1378" TargetMode="External"/><Relationship Id="rIdfnhamnja5l-rhydf-lovm" Type="http://schemas.openxmlformats.org/officeDocument/2006/relationships/hyperlink" Target="https://svrpubindc.imprenta.gov.co/senado/index2.xhtml?ent=Senado&amp;fec=23-09-2026&amp;num=1378" TargetMode="External"/><Relationship Id="rIdsje9d9mcczkkzbcryfilg" Type="http://schemas.openxmlformats.org/officeDocument/2006/relationships/hyperlink" Target="https://leyes.senado.gov.co/api/get_detalle_pdly.php?id=10013" TargetMode="External"/><Relationship Id="rIdu2b64v-gxfmk9ak6pfrfu" Type="http://schemas.openxmlformats.org/officeDocument/2006/relationships/hyperlink" Target="https://svrpubindc.imprenta.gov.co/senado/index2.xhtml?ent=Senado&amp;fec=23-09-2026&amp;num=1378" TargetMode="External"/><Relationship Id="rIdgqr0_u3oxl_nrixxlvgz8" Type="http://schemas.openxmlformats.org/officeDocument/2006/relationships/hyperlink" Target="https://leyes.senado.gov.co/api/get_detalle_pdly.php?id=10013" TargetMode="External"/><Relationship Id="rIda76siajplruravbcryvas" Type="http://schemas.openxmlformats.org/officeDocument/2006/relationships/hyperlink" Target="https://leyes.senado.gov.co/api/get_detalle_pdly.php?id=10013" TargetMode="External"/><Relationship Id="rId7bn0nqvw9agkfyjtmpyai" Type="http://schemas.openxmlformats.org/officeDocument/2006/relationships/hyperlink" Target="https://leyes.senado.gov.co/p-ley/2026-2027/PL%20090-2026%20-%20RIO%20VIEJO.pdf" TargetMode="External"/><Relationship Id="rId7du9udolvlpwps02ukhvg" Type="http://schemas.openxmlformats.org/officeDocument/2006/relationships/hyperlink" Target="https://svrpubindc.imprenta.gov.co/senado/index2.xhtml?ent=Senado&amp;fec=23-09-2026&amp;num=1378" TargetMode="External"/><Relationship Id="rIdhuzh8isprnktfv6bcw1af" Type="http://schemas.openxmlformats.org/officeDocument/2006/relationships/hyperlink" Target="https://svrpubindc.imprenta.gov.co/senado/index2.xhtml?ent=Camara&amp;fec=08-08-2025&amp;num=1331" TargetMode="External"/><Relationship Id="rIdeaqug2o8_uoksqesmke45" Type="http://schemas.openxmlformats.org/officeDocument/2006/relationships/hyperlink" Target="https://svrpubindc.imprenta.gov.co/senado/index2.xhtml?ent=Senado&amp;fec=29-09-2026&amp;num=1415" TargetMode="External"/><Relationship Id="rId2ujsshfap-s6dasmaqzac" Type="http://schemas.openxmlformats.org/officeDocument/2006/relationships/hyperlink" Target="https://svrpubindc.imprenta.gov.co/senado/index2.xhtml?ent=Senado&amp;fec=29-09-2026&amp;num=1415" TargetMode="External"/><Relationship Id="rIdctaznkavhomuq1-5yxt8a" Type="http://schemas.openxmlformats.org/officeDocument/2006/relationships/hyperlink" Target="https://leyes.senado.gov.co/api/get_detalle_pdly.php?id=9861" TargetMode="External"/><Relationship Id="rIdi3ryekl4ihz4t4dkl767f" Type="http://schemas.openxmlformats.org/officeDocument/2006/relationships/hyperlink" Target="https://svrpubindc.imprenta.gov.co/senado/index2.xhtml?ent=Senado&amp;fec=23-09-2026&amp;num=1378" TargetMode="External"/><Relationship Id="rIdh8u8xkzbwsssurcrazvk-" Type="http://schemas.openxmlformats.org/officeDocument/2006/relationships/hyperlink" Target="https://leyes.senado.gov.co/api/get_detalle_pdly.php?id=9861" TargetMode="External"/><Relationship Id="rId1p9vtzdfhzchxvncuspgk" Type="http://schemas.openxmlformats.org/officeDocument/2006/relationships/hyperlink" Target="https://leyes.senado.gov.co/api/get_detalle_pdly.php?id=9861" TargetMode="External"/><Relationship Id="rIdpbhrri0o0xtm2hphruoeo" Type="http://schemas.openxmlformats.org/officeDocument/2006/relationships/hyperlink" Target="https://svrpubindc.imprenta.gov.co/senado/index2.xhtml?ent=Camara&amp;fec=08-08-2025&amp;num=1331" TargetMode="External"/><Relationship Id="rIdpdfkcpcvuwiqqm1y7eiej" Type="http://schemas.openxmlformats.org/officeDocument/2006/relationships/hyperlink" Target="https://svrpubindc.imprenta.gov.co/senado/index2.xhtml?ent=Senado&amp;fec=23-09-2026&amp;num=1378" TargetMode="External"/><Relationship Id="rIdh0c93jplmz8javgeiwwdd" Type="http://schemas.openxmlformats.org/officeDocument/2006/relationships/hyperlink" Target="https://svrpubindc.imprenta.gov.co/senado/index2.xhtml?ent=Senado&amp;fec=11-09-2025&amp;num=1677" TargetMode="External"/><Relationship Id="rIdpsmarczcmtr21kkefmwze" Type="http://schemas.openxmlformats.org/officeDocument/2006/relationships/hyperlink" Target="https://svrpubindc.imprenta.gov.co/senado/index2.xhtml?ent=Senado&amp;fec=02-09-2026&amp;num=1176" TargetMode="External"/><Relationship Id="rIddjee7hi_jfzooqequkjqd" Type="http://schemas.openxmlformats.org/officeDocument/2006/relationships/hyperlink" Target="https://svrpubindc.imprenta.gov.co/senado/index2.xhtml?ent=Senado&amp;fec=02-09-2026&amp;num=1176" TargetMode="External"/><Relationship Id="rIdqjmpkmt0z6qvxcom9-hud" Type="http://schemas.openxmlformats.org/officeDocument/2006/relationships/hyperlink" Target="https://leyes.senado.gov.co/api/get_detalle_pdly.php?id=9746" TargetMode="External"/><Relationship Id="rIdzsvplox5ckj6wrprtbmk0" Type="http://schemas.openxmlformats.org/officeDocument/2006/relationships/hyperlink" Target="https://svrpubindc.imprenta.gov.co/senado/index2.xhtml?ent=Senado&amp;fec=23-09-2026&amp;num=1378" TargetMode="External"/><Relationship Id="rIdq_5fp0llcyeysi7r9fi4j" Type="http://schemas.openxmlformats.org/officeDocument/2006/relationships/hyperlink" Target="https://leyes.senado.gov.co/api/get_detalle_pdly.php?id=9746" TargetMode="External"/><Relationship Id="rIdk9w2dv0bw3zbstqmt35sa" Type="http://schemas.openxmlformats.org/officeDocument/2006/relationships/hyperlink" Target="https://leyes.senado.gov.co/api/get_detalle_pdly.php?id=9746" TargetMode="External"/><Relationship Id="rIdmdi1crfhsug4mliymugak" Type="http://schemas.openxmlformats.org/officeDocument/2006/relationships/hyperlink" Target="https://svrpubindc.imprenta.gov.co/senado/index2.xhtml?ent=Senado&amp;fec=11-09-2025&amp;num=1677" TargetMode="External"/><Relationship Id="rIdfqtruekbtq70wfig1qr_q" Type="http://schemas.openxmlformats.org/officeDocument/2006/relationships/hyperlink" Target="https://svrpubindc.imprenta.gov.co/senado/index2.xhtml?ent=Senado&amp;fec=23-09-2026&amp;num=1378" TargetMode="External"/><Relationship Id="rIdmkfuizuphawynseqvqmlq" Type="http://schemas.openxmlformats.org/officeDocument/2006/relationships/hyperlink" Target="https://leyes.senado.gov.co/p-ley/2026-2027/PL%20113-2026%20-%20EMPLEABILIDAD.pdf" TargetMode="External"/><Relationship Id="rIdtwlywdhfjrimzwga8mwmj" Type="http://schemas.openxmlformats.org/officeDocument/2006/relationships/hyperlink" Target="https://svrpubindc.imprenta.gov.co/senado/index2.xhtml?ent=Senado&amp;fec=24-09-2026&amp;num=1382" TargetMode="External"/><Relationship Id="rIdau8htpwl7ttt_6eo7brab" Type="http://schemas.openxmlformats.org/officeDocument/2006/relationships/hyperlink" Target="https://www.secretariasenado.gov.co/orden-del-dia-senado/18452-orden-del-dia-20-de-octubre-2026-261019-230121/file" TargetMode="External"/><Relationship Id="rIduruxlw-t8u-ddkauqob7p" Type="http://schemas.openxmlformats.org/officeDocument/2006/relationships/hyperlink" Target="https://leyes.senado.gov.co/api/get_detalle_pdly.php?id=10036" TargetMode="External"/><Relationship Id="rId4vlyux7ohrshef11chbuw" Type="http://schemas.openxmlformats.org/officeDocument/2006/relationships/hyperlink" Target="https://svrpubindc.imprenta.gov.co/senado/index2.xhtml?ent=Senado&amp;fec=23-09-2026&amp;num=1378" TargetMode="External"/><Relationship Id="rId3i711miryqmcwadvy09nd" Type="http://schemas.openxmlformats.org/officeDocument/2006/relationships/hyperlink" Target="https://leyes.senado.gov.co/api/get_detalle_pdly.php?id=10036" TargetMode="External"/><Relationship Id="rIds2rombllvflr5p0gzqcxk" Type="http://schemas.openxmlformats.org/officeDocument/2006/relationships/hyperlink" Target="https://leyes.senado.gov.co/api/get_detalle_pdly.php?id=10036" TargetMode="External"/><Relationship Id="rIdd3mezgglxghwomohvrs3q" Type="http://schemas.openxmlformats.org/officeDocument/2006/relationships/hyperlink" Target="https://leyes.senado.gov.co/p-ley/2026-2027/PL%20113-2026%20-%20EMPLEABILIDAD.pdf" TargetMode="External"/><Relationship Id="rIdkwzqlyl0vkgbcqwi6y0bw" Type="http://schemas.openxmlformats.org/officeDocument/2006/relationships/hyperlink" Target="https://svrpubindc.imprenta.gov.co/senado/index2.xhtml?ent=Senado&amp;fec=23-09-2026&amp;num=1378" TargetMode="External"/><Relationship Id="rIdlwy1pqqoy8jwibre1sabq" Type="http://schemas.openxmlformats.org/officeDocument/2006/relationships/hyperlink" Target="https://leyes.senado.gov.co/p-ley/2025-2026/PL%20119-25%20-%20COBRO%20RECONEXION.pdf" TargetMode="External"/><Relationship Id="rIdaz0n1guqn47tcmnp8vnzh" Type="http://schemas.openxmlformats.org/officeDocument/2006/relationships/hyperlink" Target="https://svrpubindc.imprenta.gov.co/senado/index2.xhtml?ent=Senado&amp;fec=19-11-2025&amp;num=2193" TargetMode="External"/><Relationship Id="rIdgi4ki_tchr-gkpjo-zonm" Type="http://schemas.openxmlformats.org/officeDocument/2006/relationships/hyperlink" Target="https://svrpubindc.imprenta.gov.co/senado/index2.xhtml?ent=Senado&amp;fec=19-11-2025&amp;num=2193" TargetMode="External"/><Relationship Id="rIdixrozed3vfgvbk4cueleo" Type="http://schemas.openxmlformats.org/officeDocument/2006/relationships/hyperlink" Target="https://leyes.senado.gov.co/api/get_detalle_pdly.php?id=9658" TargetMode="External"/><Relationship Id="rIddljb2pfqbvb5mjg7-lkfs" Type="http://schemas.openxmlformats.org/officeDocument/2006/relationships/hyperlink" Target="https://svrpubindc.imprenta.gov.co/senado/index2.xhtml?ent=Senado&amp;fec=23-09-2026&amp;num=1378" TargetMode="External"/><Relationship Id="rId_lgj7rj8cvhayp6dxkq52" Type="http://schemas.openxmlformats.org/officeDocument/2006/relationships/hyperlink" Target="https://leyes.senado.gov.co/api/get_detalle_pdly.php?id=9658" TargetMode="External"/><Relationship Id="rId4xj0dsxi3pae6wanuukyk" Type="http://schemas.openxmlformats.org/officeDocument/2006/relationships/hyperlink" Target="https://leyes.senado.gov.co/api/get_detalle_pdly.php?id=9658" TargetMode="External"/><Relationship Id="rId2q43ekt5gzyq0cvgxouli" Type="http://schemas.openxmlformats.org/officeDocument/2006/relationships/hyperlink" Target="https://leyes.senado.gov.co/p-ley/2025-2026/PL%20119-25%20-%20COBRO%20RECONEXION.pdf" TargetMode="External"/><Relationship Id="rIdqicv5jhqx-n-xjwjy5xpd" Type="http://schemas.openxmlformats.org/officeDocument/2006/relationships/hyperlink" Target="https://svrpubindc.imprenta.gov.co/senado/index2.xhtml?ent=Senado&amp;fec=23-09-2026&amp;num=1378" TargetMode="External"/><Relationship Id="rIdxll5qxiadjhmzq9haibxq" Type="http://schemas.openxmlformats.org/officeDocument/2006/relationships/hyperlink" Target="https://leyes.senado.gov.co/p-ley/2025-2026/PL%20124-25%20-%20TURBANTE.pdf" TargetMode="External"/><Relationship Id="rId79ap6b0chgdo13q6ybk_z" Type="http://schemas.openxmlformats.org/officeDocument/2006/relationships/hyperlink" Target="https://svrpubindc.imprenta.gov.co/senado/index2.xhtml?ent=Senado&amp;fec=28-09-2026&amp;num=1412" TargetMode="External"/><Relationship Id="rIdd0oljdmgg-v-c4newhbrz" Type="http://schemas.openxmlformats.org/officeDocument/2006/relationships/hyperlink" Target="https://svrpubindc.imprenta.gov.co/senado/index2.xhtml?ent=Senado&amp;fec=28-09-2026&amp;num=1412" TargetMode="External"/><Relationship Id="rIdfmjzooynjzhnu0nsssqjo" Type="http://schemas.openxmlformats.org/officeDocument/2006/relationships/hyperlink" Target="https://leyes.senado.gov.co/api/get_detalle_pdly.php?id=9663" TargetMode="External"/><Relationship Id="rIdag3c7xaym14q2s6rffbsf" Type="http://schemas.openxmlformats.org/officeDocument/2006/relationships/hyperlink" Target="https://svrpubindc.imprenta.gov.co/senado/index2.xhtml?ent=Senado&amp;fec=23-09-2026&amp;num=1378" TargetMode="External"/><Relationship Id="rIdwkzzmjeeroyonk-wmuyo7" Type="http://schemas.openxmlformats.org/officeDocument/2006/relationships/hyperlink" Target="https://leyes.senado.gov.co/api/get_detalle_pdly.php?id=9663" TargetMode="External"/><Relationship Id="rIdrxoh2geawtdzix16x9e8w" Type="http://schemas.openxmlformats.org/officeDocument/2006/relationships/hyperlink" Target="https://leyes.senado.gov.co/api/get_detalle_pdly.php?id=9663" TargetMode="External"/><Relationship Id="rId_xtdmt3jliruok6q6zq2j" Type="http://schemas.openxmlformats.org/officeDocument/2006/relationships/hyperlink" Target="https://leyes.senado.gov.co/p-ley/2025-2026/PL%20124-25%20-%20TURBANTE.pdf" TargetMode="External"/><Relationship Id="rId3ueyhxi-gu3qr7ye2x4zn" Type="http://schemas.openxmlformats.org/officeDocument/2006/relationships/hyperlink" Target="https://svrpubindc.imprenta.gov.co/senado/index2.xhtml?ent=Senado&amp;fec=23-09-2026&amp;num=1378" TargetMode="External"/><Relationship Id="rIdiovzmcso2owmvdmpfqhf3" Type="http://schemas.openxmlformats.org/officeDocument/2006/relationships/hyperlink" Target="https://leyes.senado.gov.co/p-ley/2026-2027/PL%20106-2026%20-%20TRANSFERENCIAS%20MONETARIAS.pdf" TargetMode="External"/><Relationship Id="rIduputya2yjakf6vf7ym8ls" Type="http://schemas.openxmlformats.org/officeDocument/2006/relationships/hyperlink" Target="https://svrpubindc.imprenta.gov.co/senado/index2.xhtml?ent=Senado&amp;fec=30-09-2026&amp;num=1442" TargetMode="External"/><Relationship Id="rIda_9lkytfyjv2z-pctkqwj" Type="http://schemas.openxmlformats.org/officeDocument/2006/relationships/hyperlink" Target="https://svrpubindc.imprenta.gov.co/senado/index2.xhtml?ent=Senado&amp;fec=30-09-2026&amp;num=1442" TargetMode="External"/><Relationship Id="rIddrpeqo04oh-i8s0_e440y" Type="http://schemas.openxmlformats.org/officeDocument/2006/relationships/hyperlink" Target="https://leyes.senado.gov.co/api/get_detalle_pdly.php?id=10029" TargetMode="External"/><Relationship Id="rIdzc4bnrk9ovugmhtfhumb3" Type="http://schemas.openxmlformats.org/officeDocument/2006/relationships/hyperlink" Target="https://svrpubindc.imprenta.gov.co/senado/index2.xhtml?ent=Senado&amp;fec=23-09-2026&amp;num=1378" TargetMode="External"/><Relationship Id="rId3kxvopj0hpxzw5f25ycfa" Type="http://schemas.openxmlformats.org/officeDocument/2006/relationships/hyperlink" Target="https://leyes.senado.gov.co/api/get_detalle_pdly.php?id=10029" TargetMode="External"/><Relationship Id="rIdndqdrze-mup4lq9bzjjdm" Type="http://schemas.openxmlformats.org/officeDocument/2006/relationships/hyperlink" Target="https://leyes.senado.gov.co/api/get_detalle_pdly.php?id=10029" TargetMode="External"/><Relationship Id="rId6xzcz5bcixulu6tghsrat" Type="http://schemas.openxmlformats.org/officeDocument/2006/relationships/hyperlink" Target="https://leyes.senado.gov.co/p-ley/2026-2027/PL%20106-2026%20-%20TRANSFERENCIAS%20MONETARIAS.pdf" TargetMode="External"/><Relationship Id="rIdqtfi4zedkifpqjlnu5n_c" Type="http://schemas.openxmlformats.org/officeDocument/2006/relationships/hyperlink" Target="https://svrpubindc.imprenta.gov.co/senado/index2.xhtml?ent=Senado&amp;fec=23-09-2026&amp;num=1378" TargetMode="External"/><Relationship Id="rIdhyn0j6wyelfqitv0png2e" Type="http://schemas.openxmlformats.org/officeDocument/2006/relationships/hyperlink" Target="https://leyes.senado.gov.co/p-ley/2025-2026/PL%20224-2025%20-%20LEY%20DESPEDIDA%20ECOLOGICA.pdf" TargetMode="External"/><Relationship Id="rId0eqjd2wu9ie3atsgbxgtc" Type="http://schemas.openxmlformats.org/officeDocument/2006/relationships/hyperlink" Target="https://svrpubindc.imprenta.gov.co/senado/index2.xhtml?ent=Senado&amp;fec=28-05-2026&amp;num=592" TargetMode="External"/><Relationship Id="rIdda8xwy_hcqpw7n0kxsaau" Type="http://schemas.openxmlformats.org/officeDocument/2006/relationships/hyperlink" Target="https://leyes.senado.gov.co/api/get_detalle_pdly.php?id=9763" TargetMode="External"/><Relationship Id="rIdak2ce3yhxhiupp4swnvri" Type="http://schemas.openxmlformats.org/officeDocument/2006/relationships/hyperlink" Target="https://leyes.senado.gov.co/api/get_detalle_pdly.php?id=9763" TargetMode="External"/><Relationship Id="rIdcnd3zipkwi0q2qgxedivc" Type="http://schemas.openxmlformats.org/officeDocument/2006/relationships/hyperlink" Target="https://svrpubindc.imprenta.gov.co/senado/index2.xhtml?ent=Senado&amp;fec=23-09-2026&amp;num=1378" TargetMode="External"/><Relationship Id="rIdmkgmdhufn_3coedggt0xc" Type="http://schemas.openxmlformats.org/officeDocument/2006/relationships/hyperlink" Target="https://leyes.senado.gov.co/api/get_detalle_pdly.php?id=9763" TargetMode="External"/><Relationship Id="rIdsvmuehg4-ci-nwwgbgqsm" Type="http://schemas.openxmlformats.org/officeDocument/2006/relationships/hyperlink" Target="https://leyes.senado.gov.co/api/get_detalle_pdly.php?id=9763" TargetMode="External"/><Relationship Id="rIdmvtzga_wmdnki0qrrl2ro" Type="http://schemas.openxmlformats.org/officeDocument/2006/relationships/hyperlink" Target="https://leyes.senado.gov.co/p-ley/2025-2026/PL%20224-2025%20-%20LEY%20DESPEDIDA%20ECOLOGICA.pdf" TargetMode="External"/><Relationship Id="rIdphqgtij1kbkeyfnbprhkf" Type="http://schemas.openxmlformats.org/officeDocument/2006/relationships/hyperlink" Target="https://svrpubindc.imprenta.gov.co/senado/index2.xhtml?ent=Senado&amp;fec=23-09-2026&amp;num=1378" TargetMode="External"/><Relationship Id="rIdni-v2gxhnn1uem_xnsyea" Type="http://schemas.openxmlformats.org/officeDocument/2006/relationships/hyperlink" Target="https://leyes.senado.gov.co/p-ley/2025-2026/PL%20103-25%20-%20BEBEDEROS%20DE%20AGUA%20POTABLE.pdf" TargetMode="External"/><Relationship Id="rIdpqxd-dmr1fqbegjf7jcks" Type="http://schemas.openxmlformats.org/officeDocument/2006/relationships/hyperlink" Target="https://svrpubindc.imprenta.gov.co/senado/index2.xhtml?ent=Senado&amp;fec=17-09-2026&amp;num=1307" TargetMode="External"/><Relationship Id="rId98j7jjgivhohvgzakzbox" Type="http://schemas.openxmlformats.org/officeDocument/2006/relationships/hyperlink" Target="https://leyes.senado.gov.co/api/get_detalle_pdly.php?id=9642" TargetMode="External"/><Relationship Id="rIduiu27gbcz8ahkulqulnda" Type="http://schemas.openxmlformats.org/officeDocument/2006/relationships/hyperlink" Target="https://leyes.senado.gov.co/api/get_detalle_pdly.php?id=9642" TargetMode="External"/><Relationship Id="rIddozk9msrwci10odjmk00q" Type="http://schemas.openxmlformats.org/officeDocument/2006/relationships/hyperlink" Target="https://svrpubindc.imprenta.gov.co/senado/index2.xhtml?ent=Senado&amp;fec=23-09-2026&amp;num=1378" TargetMode="External"/><Relationship Id="rIdblcpph_elp32dtc47ruw8" Type="http://schemas.openxmlformats.org/officeDocument/2006/relationships/hyperlink" Target="https://leyes.senado.gov.co/api/get_detalle_pdly.php?id=9642" TargetMode="External"/><Relationship Id="rId2gsajde9grnr6pqujug0q" Type="http://schemas.openxmlformats.org/officeDocument/2006/relationships/hyperlink" Target="https://leyes.senado.gov.co/api/get_detalle_pdly.php?id=9642" TargetMode="External"/><Relationship Id="rIdq6ke4jzcwqcguhteztsu6" Type="http://schemas.openxmlformats.org/officeDocument/2006/relationships/hyperlink" Target="https://leyes.senado.gov.co/p-ley/2025-2026/PL%20103-25%20-%20BEBEDEROS%20DE%20AGUA%20POTABLE.pdf" TargetMode="External"/><Relationship Id="rIdmfhfacxttmgxoue7gxgtj" Type="http://schemas.openxmlformats.org/officeDocument/2006/relationships/hyperlink" Target="https://svrpubindc.imprenta.gov.co/senado/index2.xhtml?ent=Senado&amp;fec=23-09-2026&amp;num=1378" TargetMode="External"/><Relationship Id="rIdbcmma_9gvy1_35aqrrikg" Type="http://schemas.openxmlformats.org/officeDocument/2006/relationships/hyperlink" Target="https://leyes.senado.gov.co/p-ley/2025-2026/PL%20102-25%20-%20MOVILIDAD%20SALARIAL.pdf" TargetMode="External"/><Relationship Id="rIdnmah_gy5wa6nniwbgmayt" Type="http://schemas.openxmlformats.org/officeDocument/2006/relationships/hyperlink" Target="https://svrpubindc.imprenta.gov.co/senado/index2.xhtml?ent=Senado&amp;fec=12-06-2026&amp;num=702" TargetMode="External"/><Relationship Id="rIdmr3i_nhyml9p0pgziddr7" Type="http://schemas.openxmlformats.org/officeDocument/2006/relationships/hyperlink" Target="https://svrpubindc.imprenta.gov.co/senado/index2.xhtml?ent=Senado&amp;fec=12-06-2026&amp;num=702" TargetMode="External"/><Relationship Id="rIdhdafn278eeywq2avmczc7" Type="http://schemas.openxmlformats.org/officeDocument/2006/relationships/hyperlink" Target="https://leyes.senado.gov.co/api/get_detalle_pdly.php?id=9641" TargetMode="External"/><Relationship Id="rIdaxreoj4rl_boxyb_baucs" Type="http://schemas.openxmlformats.org/officeDocument/2006/relationships/hyperlink" Target="https://svrpubindc.imprenta.gov.co/senado/index2.xhtml?ent=Senado&amp;fec=23-09-2026&amp;num=1378" TargetMode="External"/><Relationship Id="rIds-7kh61wc34g_ut2_vyk3" Type="http://schemas.openxmlformats.org/officeDocument/2006/relationships/hyperlink" Target="https://leyes.senado.gov.co/api/get_detalle_pdly.php?id=9641" TargetMode="External"/><Relationship Id="rIdcjkmsjo9sch0ydhzp5uhr" Type="http://schemas.openxmlformats.org/officeDocument/2006/relationships/hyperlink" Target="https://leyes.senado.gov.co/api/get_detalle_pdly.php?id=9641" TargetMode="External"/><Relationship Id="rIdkrb3o9sj_jl6ne8zphw6p" Type="http://schemas.openxmlformats.org/officeDocument/2006/relationships/hyperlink" Target="https://leyes.senado.gov.co/p-ley/2025-2026/PL%20102-25%20-%20MOVILIDAD%20SALARIAL.pdf" TargetMode="External"/><Relationship Id="rIdiflrh5cemtcd2vkdgzakh" Type="http://schemas.openxmlformats.org/officeDocument/2006/relationships/hyperlink" Target="https://svrpubindc.imprenta.gov.co/senado/index2.xhtml?ent=Senado&amp;fec=23-09-2026&amp;num=1378" TargetMode="External"/><Relationship Id="rIduivglax_4uj9jecdx-l2d" Type="http://schemas.openxmlformats.org/officeDocument/2006/relationships/hyperlink" Target="https://leyes.senado.gov.co/p-ley/2025-2026/PL%20061-25%20-%20IMPLANTES%20MAMARIOS.pdf" TargetMode="External"/><Relationship Id="rIdjkc6ffguyqhsbfc8uskad" Type="http://schemas.openxmlformats.org/officeDocument/2006/relationships/hyperlink" Target="https://svrpubindc.imprenta.gov.co/senado/index2.xhtml?ent=Senado&amp;fec=04-05-2026&amp;num=415" TargetMode="External"/><Relationship Id="rIdykennwf9_-le86cmf4nuc" Type="http://schemas.openxmlformats.org/officeDocument/2006/relationships/hyperlink" Target="https://svrpubindc.imprenta.gov.co/senado/index2.xhtml?ent=Senado&amp;fec=04-05-2026&amp;num=415" TargetMode="External"/><Relationship Id="rIdvj8oghb0bhmtqmorww4qc" Type="http://schemas.openxmlformats.org/officeDocument/2006/relationships/hyperlink" Target="https://leyes.senado.gov.co/api/get_detalle_pdly.php?id=9600" TargetMode="External"/><Relationship Id="rIdog1b5rlgl_6pljpppbtq7" Type="http://schemas.openxmlformats.org/officeDocument/2006/relationships/hyperlink" Target="https://svrpubindc.imprenta.gov.co/senado/index2.xhtml?ent=Senado&amp;fec=23-09-2026&amp;num=1378" TargetMode="External"/><Relationship Id="rIdyltwlxdad142r4ptpouvn" Type="http://schemas.openxmlformats.org/officeDocument/2006/relationships/hyperlink" Target="https://leyes.senado.gov.co/api/get_detalle_pdly.php?id=9600" TargetMode="External"/><Relationship Id="rIdbmgjurp4qxqhlje-zu_er" Type="http://schemas.openxmlformats.org/officeDocument/2006/relationships/hyperlink" Target="https://leyes.senado.gov.co/api/get_detalle_pdly.php?id=9600" TargetMode="External"/><Relationship Id="rIdc_y9ub9hzfbnky1czcwfq" Type="http://schemas.openxmlformats.org/officeDocument/2006/relationships/hyperlink" Target="https://leyes.senado.gov.co/p-ley/2025-2026/PL%20061-25%20-%20IMPLANTES%20MAMARIOS.pdf" TargetMode="External"/><Relationship Id="rId8y9zyxllo_qld5svbiobm" Type="http://schemas.openxmlformats.org/officeDocument/2006/relationships/hyperlink" Target="https://svrpubindc.imprenta.gov.co/senado/index2.xhtml?ent=Senado&amp;fec=23-09-2026&amp;num=1378" TargetMode="External"/><Relationship Id="rIdlmy0ryve-uagwvpb9_g4t" Type="http://schemas.openxmlformats.org/officeDocument/2006/relationships/hyperlink" Target="https://leyes.senado.gov.co/p-ley/2026-2027/PAL%2009-2026%20-%20PUERTO%20COLOMBIA.pdf" TargetMode="External"/><Relationship Id="rIdbhc50fb5vymfytbismad2" Type="http://schemas.openxmlformats.org/officeDocument/2006/relationships/hyperlink" Target="https://svrpubindc.imprenta.gov.co/senado/index2.xhtml?ent=Senado&amp;fec=15-10-2026&amp;num=1547" TargetMode="External"/><Relationship Id="rIdordxqkntmbapksxskfwa6" Type="http://schemas.openxmlformats.org/officeDocument/2006/relationships/hyperlink" Target="https://svrpubindc.imprenta.gov.co/senado/index2.xhtml?ent=Senado&amp;fec=15-10-2026&amp;num=1547" TargetMode="External"/><Relationship Id="rIdjzcvymbuvkspdmz97znpe" Type="http://schemas.openxmlformats.org/officeDocument/2006/relationships/hyperlink" Target="https://leyes.senado.gov.co/p-ley/2026-2027/PAL%2009-2026%20-%20PUERTO%20COLOMBIA.pdf" TargetMode="External"/><Relationship Id="rIdm2bpecdgz70b0frkp2vt6" Type="http://schemas.openxmlformats.org/officeDocument/2006/relationships/hyperlink" Target="https://svrpubindc.imprenta.gov.co/senado/index2.xhtml?ent=Senado&amp;fec=23-09-2026&amp;num=1378" TargetMode="External"/><Relationship Id="rIdbm9mkqt_w0ass9lyifg_x" Type="http://schemas.openxmlformats.org/officeDocument/2006/relationships/hyperlink" Target="https://leyes.senado.gov.co/api/get_detalle_pal.php?id=779" TargetMode="External"/><Relationship Id="rIdcv8qlfvmfnampjw-fy07b" Type="http://schemas.openxmlformats.org/officeDocument/2006/relationships/hyperlink" Target="https://leyes.senado.gov.co/p-ley/2026-2027/PAL%2009-2026%20-%20PUERTO%20COLOMBIA.pdf" TargetMode="External"/><Relationship Id="rIdgrnibsl1vfwzby60x7b-p" Type="http://schemas.openxmlformats.org/officeDocument/2006/relationships/hyperlink" Target="https://www.pte.gov.co/documents/d/pte/decreto-no-1599-del-22-de-octubre-de-2026?download=true" TargetMode="External"/><Relationship Id="rIdjn5vozg5w3kwcgfmuljcg" Type="http://schemas.openxmlformats.org/officeDocument/2006/relationships/hyperlink" Target="https://leyes.senado.gov.co/p-ley/2026-2027/PL%20111-2026S%20152-2026C%20PRESUPUESTO%20GENERAL%20DE%20LA%20NACION.pdf" TargetMode="External"/><Relationship Id="rIdfu-iw2v15vfksupyqwem3" Type="http://schemas.openxmlformats.org/officeDocument/2006/relationships/hyperlink" Target="https://www.pte.gov.co/documents/d/pte/decreto-no-1599-del-22-de-octubre-de-2026?download=true" TargetMode="External"/><Relationship Id="rId4j2vtr_mvnlwid5zmocka" Type="http://schemas.openxmlformats.org/officeDocument/2006/relationships/hyperlink" Target="https://www.camara.gov.co/wp-content/uploads/2026/09/Presupuesto-Vigencia-Fiscal-2027/Comision-Cuarta-Constitucional-Permanente/Ponentes-2do-Dte-Comision-Cuarta-de-Senado.pdf" TargetMode="External"/><Relationship Id="rIdds4ahkrewyzfenmpdb15d" Type="http://schemas.openxmlformats.org/officeDocument/2006/relationships/hyperlink" Target="https://www.pte.gov.co/documents/d/pte/decreto-no-1599-del-22-de-octubre-de-2026?download=true" TargetMode="External"/><Relationship Id="rId2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Fichas de proyectos para consulta parlamentaria</dc:title>
  <dc:creator>Observatorio Legislativo</dc:creator>
  <dc:description>Fichas editables con evidencia legislativa oficial</dc:description>
  <cp:lastModifiedBy>Un-named</cp:lastModifiedBy>
  <cp:revision>1</cp:revision>
  <dcterms:created xsi:type="dcterms:W3CDTF">2026-10-28T18:17:12.696Z</dcterms:created>
  <dcterms:modified xsi:type="dcterms:W3CDTF">2026-10-28T18:17:12.696Z</dcterms:modified>
</cp:coreProperties>
</file>

<file path=docProps/custom.xml><?xml version="1.0" encoding="utf-8"?>
<Properties xmlns="http://schemas.openxmlformats.org/officeDocument/2006/custom-properties" xmlns:vt="http://schemas.openxmlformats.org/officeDocument/2006/docPropsVTypes"/>
</file>