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PAL 009 de 2026 Senado</w:t>
      </w:r>
    </w:p>
    <w:p>
      <w:pPr/>
      <w:r>
        <w:rPr>
          <w:b/>
          <w:sz w:val="20"/>
        </w:rPr>
        <w:t>Puerto Colombia · distrito turístico, cultural, histórico y de tecnología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Acto legislativo · reforma constitucional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Senado, primera vuelta de acto legislativo.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Pendiente de verificar reparto o comisión de trámite.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Los autores justifican la categoría distrital para Puerto Colombia por su pasado portuario y comercial, su patrimonio histórico y cultural y su potencial turístico y tecnológico. Consideran que el nuevo régimen proporcionaría instrumentos de planificación y gestión para impulsar ese desarrollo; son beneficios esperados de la reforma, no resultados garantizados.</w:t>
      </w:r>
    </w:p>
    <w:p>
      <w:pPr>
        <w:pStyle w:val="FichaSeccion"/>
      </w:pPr>
      <w:r>
        <w:t>Objeto del texto radicado</w:t>
      </w:r>
    </w:p>
    <w:p>
      <w:r>
        <w:t>Adiciona los artículos 328 y 356 de la Constitución para organizar a Puerto Colombia como distrito turístico, cultural, histórico y de tecnología; prevé régimen especial y articulación con autoridades nacionales. Texto radicado leído, diferente del soporte actual de ponencia.</w:t>
      </w:r>
    </w:p>
    <w:p>
      <w:pPr>
        <w:pStyle w:val="FichaSeccion"/>
      </w:pPr>
      <w:r>
        <w:t>Análisis del soporte actual</w:t>
      </w:r>
    </w:p>
    <w:p>
      <w:r>
        <w:t>La ponencia 1547/2026 adiciona los artículos 328 y 356 constitucionales para organizar a Puerto Colombia como distrito turístico, cultural, histórico y de tecnología. Remite su régimen político, fiscal y administrativo a la Constitución y leyes especiales y prevé coordinación con autoridades nacionales. La etapa es segundo debate en primera vuelta, no reforma constitucional aprobada ni culminación de las dos vueltas.</w:t>
      </w:r>
    </w:p>
    <w:p>
      <w:pPr>
        <w:pStyle w:val="FichaSeccion"/>
      </w:pPr>
      <w:r>
        <w:t>Ponentes</w:t>
      </w:r>
    </w:p>
    <w:p>
      <w:r>
        <w:t>Iván Cepeda Castro · ponente para segundo debate en primera vuelta.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Tipo de ley 25/10/2026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motivación y objeto, p. 8.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6-2027/PAL%2009-2026%20-%20PUERTO%20COLOMBIA.pdf" TargetMode="External"/><Relationship Id="rId11" Type="http://schemas.openxmlformats.org/officeDocument/2006/relationships/hyperlink" Target="https://svrpubindc.imprenta.gov.co/senado/index2.xhtml?ent=Senado&amp;fec=15-10-2026&amp;num=1547" TargetMode="External"/><Relationship Id="rId12" Type="http://schemas.openxmlformats.org/officeDocument/2006/relationships/hyperlink" Target="https://leyes.senado.gov.co/api/get_detalle_pal.php?id=779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