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061 de 2025 Senado</w:t>
      </w:r>
    </w:p>
    <w:p>
      <w:pPr/>
      <w:r>
        <w:rPr>
          <w:b/>
          <w:sz w:val="20"/>
        </w:rPr>
        <w:t>Implantes mamarios · seguridad, seguimiento y atención de secuelas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Septima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Los autores justifican medidas de información, seguridad, seguimiento y atención frente a riesgos y secuelas que el documento asocia a implantes mamarios. La exposición propone acceso no discriminatorio al diagnóstico, tratamiento, explantación y rehabilitación e incluye a personas con identidades de género diversas. No se afirma aquí una relación médica causal independiente.</w:t>
      </w:r>
    </w:p>
    <w:p>
      <w:pPr>
        <w:pStyle w:val="FichaSeccion"/>
      </w:pPr>
      <w:r>
        <w:t>Objeto del texto radicado</w:t>
      </w:r>
    </w:p>
    <w:p>
      <w:r>
        <w:t>Regula servicios de implantación mamaria, consentimiento, póliza y seguimiento de veinte años, prótesis permitidas, atención y rehabilitación de secuelas, vigilancia y un nuevo delito por lesiones con implantes no permitidos. La ponencia posterior modifica duración y financiación, entre otros puntos.</w:t>
      </w:r>
    </w:p>
    <w:p>
      <w:pPr>
        <w:pStyle w:val="FichaSeccion"/>
      </w:pPr>
      <w:r>
        <w:t>Análisis del soporte actual</w:t>
      </w:r>
    </w:p>
    <w:p>
      <w:r>
        <w:t>La ponencia 415/2026 regula consentimiento informado, garantía y seguimiento por diez años, prótesis permitidas, atención integral de complicaciones, registro de dispositivos y responsabilidades de financiación. Prevé cobertura preferente por aseguramiento y posterior por sistema de salud, sin condicionar atención a determinación previa de responsabilidad. Propone un tipo penal por lesiones con implantes no autorizados, adulterados, reutilizados o industriales. Las asociaciones clínicas se explican como materia de la propuesta y evidencia, no como causalidad médica general demostrada.</w:t>
      </w:r>
    </w:p>
    <w:p>
      <w:r>
        <w:t>El original preveía veinte años; no se confunde con el texto de ponencia.</w:t>
      </w:r>
    </w:p>
    <w:p>
      <w:pPr>
        <w:pStyle w:val="FichaSeccion"/>
      </w:pPr>
      <w:r>
        <w:t>Ponentes</w:t>
      </w:r>
    </w:p>
    <w:p>
      <w:r>
        <w:t>Norma Hurtado Sánchez · ponente para segundo debate.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Exposición de motivos, objeto, ámbito e inclusión, pp. 7–8.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3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5-2026/PL%20061-25%20-%20IMPLANTES%20MAMARIOS.pdf" TargetMode="External"/><Relationship Id="rId11" Type="http://schemas.openxmlformats.org/officeDocument/2006/relationships/hyperlink" Target="https://svrpubindc.imprenta.gov.co/senado/index2.xhtml?ent=Senado&amp;fec=04-05-2026&amp;num=415" TargetMode="External"/><Relationship Id="rId12" Type="http://schemas.openxmlformats.org/officeDocument/2006/relationships/hyperlink" Target="https://leyes.senado.gov.co/api/get_detalle_pdly.php?id=9600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