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090 de 2026 Senado</w:t>
      </w:r>
    </w:p>
    <w:p>
      <w:pPr/>
      <w:r>
        <w:rPr>
          <w:b/>
          <w:sz w:val="20"/>
        </w:rPr>
        <w:t>Río Viejo · legado de sus cantadoras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Segunda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La exposición explica que la continuidad de la tambora y los bailes cantaos depende de las mujeres que preservan repertorios, memorias e interpretación comunitaria. Justifica el homenaje a Río Viejo y sus cantadoras junto con archivo vivo, transmisión entre generaciones, investigación y circulación cultural.</w:t>
      </w:r>
    </w:p>
    <w:p>
      <w:pPr>
        <w:pStyle w:val="FichaSeccion"/>
      </w:pPr>
      <w:r>
        <w:t>Objeto del texto radicado</w:t>
      </w:r>
    </w:p>
    <w:p>
      <w:r>
        <w:t>Exalta a Río Viejo y a sus cantadoras; homenajea a Ana Matilde Alvarado Sajonero. Promueve documentación, archivo vivo, transmisión intergeneracional, investigación y difusión del legado, con salvaguardas para comunidad y contenidos.</w:t>
      </w:r>
    </w:p>
    <w:p>
      <w:pPr>
        <w:pStyle w:val="FichaSeccion"/>
      </w:pPr>
      <w:r>
        <w:t>Análisis del soporte actual</w:t>
      </w:r>
    </w:p>
    <w:p>
      <w:r>
        <w:t>La ponencia 1378/2026 exalta a Río Viejo y sus cantadoras como transmisoras de tambora, bailes cantaos y tradición oral; homenajea a Ana Matilde Alvarado Sajonero. Prevé archivo vivo, formación intergeneracional, investigación y circulación, con consentimiento, atribución, protección de datos y derechos de autor. El apoyo depende de competencias y disponibilidades; no sustituye el régimen de patrimonio cultural inmaterial.</w:t>
      </w:r>
    </w:p>
    <w:p>
      <w:pPr>
        <w:pStyle w:val="FichaSeccion"/>
      </w:pPr>
      <w:r>
        <w:t>Ponentes</w:t>
      </w:r>
    </w:p>
    <w:p>
      <w:r>
        <w:t>Antonio José Correa Jiménez · segundo debate en Senado.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motivos, presentación y fundamentos, p. 2.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2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6-2027/PL%20090-2026%20-%20RIO%20VIEJO.pdf" TargetMode="External"/><Relationship Id="rId11" Type="http://schemas.openxmlformats.org/officeDocument/2006/relationships/hyperlink" Target="https://leyes.senado.gov.co/api/get_detalle_pdly.php?id=10013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