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102 de 2025 Senado</w:t>
      </w:r>
    </w:p>
    <w:p>
      <w:pPr/>
      <w:r>
        <w:rPr>
          <w:b/>
          <w:sz w:val="20"/>
        </w:rPr>
        <w:t>Movilidad salarial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Septima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invoca la remuneración mínima, vital y móvil para sustentar la protección del poder adquisitivo del salario frente a la inflación. El autor considera necesario desarrollar esa garantía y retomar iniciativas anteriores archivadas por tránsito de legislatura; las interpretaciones constitucionales se atribuyen a la justificación del proyecto.</w:t>
      </w:r>
    </w:p>
    <w:p>
      <w:pPr>
        <w:pStyle w:val="FichaSeccion"/>
      </w:pPr>
      <w:r>
        <w:t>Objeto del texto radicado</w:t>
      </w:r>
    </w:p>
    <w:p>
      <w:r>
        <w:t>Establece ajuste anual de salarios superiores al mínimo no inferior al IPC y ajustes de honorarios de contratos que atraviesen año tributario o vigencia fiscal, con excepciones y respeto a negociación colectiva. La ponencia posterior añade vigilancia de MinTrabajo.</w:t>
      </w:r>
    </w:p>
    <w:p>
      <w:pPr>
        <w:pStyle w:val="FichaSeccion"/>
      </w:pPr>
      <w:r>
        <w:t>Análisis del soporte actual</w:t>
      </w:r>
    </w:p>
    <w:p>
      <w:r>
        <w:t>La ponencia 702/2026 exige ajuste anual no inferior al IPC del año anterior para salarios superiores al mínimo. Regula continuidad contractual y honorarios en servicios que atraviesen año tributario o vigencia fiscal, preserva mecanismos de salario mínimo y negociación colectiva y exceptúa remuneraciones expresadas en salarios mínimos y regímenes públicos especiales. Asigna vigilancia a MinTrabajo. No se informa que esta regla esté ya vigente.</w:t>
      </w:r>
    </w:p>
    <w:p>
      <w:pPr>
        <w:pStyle w:val="FichaSeccion"/>
      </w:pPr>
      <w:r>
        <w:t>Ponentes</w:t>
      </w:r>
    </w:p>
    <w:p>
      <w:r>
        <w:t>Edwing Fabián Díaz Plata y Wilson Neber Arias Castillo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antecedentes y consideraciones de justificación, pp. 3–4.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102-25%20-%20MOVILIDAD%20SALARIAL.pdf" TargetMode="External"/><Relationship Id="rId11" Type="http://schemas.openxmlformats.org/officeDocument/2006/relationships/hyperlink" Target="https://svrpubindc.imprenta.gov.co/senado/index2.xhtml?ent=Senado&amp;fec=12-06-2026&amp;num=702" TargetMode="External"/><Relationship Id="rId12" Type="http://schemas.openxmlformats.org/officeDocument/2006/relationships/hyperlink" Target="https://leyes.senado.gov.co/api/get_detalle_pdly.php?id=9641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