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5F6C71"/>
          <w:sz w:val="14"/>
        </w:rPr>
        <w:t>OBSERVATORIO LEGISLATIVO  /  DESPACHO DEL H.S. CARLOS EDUARDO ENRÍQUEZ CAICEDO</w:t>
      </w:r>
    </w:p>
    <w:p>
      <w:pPr>
        <w:pStyle w:val="FichaTitulo"/>
      </w:pPr>
      <w:r>
        <w:t>PL 111 de 2026 Senado / 152 de 2026 Cámara</w:t>
      </w:r>
    </w:p>
    <w:p>
      <w:pPr/>
      <w:r>
        <w:rPr>
          <w:b/>
          <w:sz w:val="20"/>
        </w:rPr>
        <w:t>Presupuesto General de la Nación 2027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57"/>
        <w:gridCol w:w="7920"/>
      </w:tblGrid>
      <w:tr>
        <w:tc>
          <w:tcPr>
            <w:tcW w:type="dxa" w:w="1757"/>
            <w:vAlign w:val="center"/>
          </w:tcPr>
          <w:p>
            <w:r>
              <w:rPr>
                <w:b/>
                <w:color w:val="5F6C71"/>
                <w:sz w:val="16"/>
              </w:rPr>
              <w:t>Tipo de ley</w:t>
            </w:r>
          </w:p>
        </w:tc>
        <w:tc>
          <w:tcPr>
            <w:tcW w:type="dxa" w:w="7920"/>
            <w:vAlign w:val="center"/>
          </w:tcPr>
          <w:p>
            <w:r>
              <w:rPr>
                <w:sz w:val="16"/>
              </w:rPr>
              <w:t>Pendiente de verificar la clasificación oficial.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b/>
                <w:color w:val="5F6C71"/>
                <w:sz w:val="16"/>
              </w:rPr>
              <w:t>Estado documentado</w:t>
            </w:r>
          </w:p>
        </w:tc>
        <w:tc>
          <w:tcPr>
            <w:tcW w:type="dxa" w:w="7920"/>
            <w:vAlign w:val="center"/>
          </w:tcPr>
          <w:p>
            <w:r>
              <w:rPr>
                <w:sz w:val="16"/>
              </w:rPr>
              <w:t>Último estado documentado: Segundo debate Senado aprobado el 19/10; textos de plenarias sin conciliación. Decreto 1599 del 22/10 sobre primer debate conjunto, texto íntegro verificado el 23/10; consolidado Cámara pendiente. No se presume un resultado posterior al soporte consultado.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b/>
                <w:color w:val="5F6C71"/>
                <w:sz w:val="16"/>
              </w:rPr>
              <w:t>Origen</w:t>
            </w:r>
          </w:p>
        </w:tc>
        <w:tc>
          <w:tcPr>
            <w:tcW w:type="dxa" w:w="7920"/>
            <w:vAlign w:val="center"/>
          </w:tcPr>
          <w:p>
            <w:r>
              <w:rPr>
                <w:sz w:val="16"/>
              </w:rPr>
              <w:t>Pendiente de verificar cámara de origen e iniciativa.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b/>
                <w:color w:val="5F6C71"/>
                <w:sz w:val="16"/>
              </w:rPr>
              <w:t>Comisión</w:t>
            </w:r>
          </w:p>
        </w:tc>
        <w:tc>
          <w:tcPr>
            <w:tcW w:type="dxa" w:w="7920"/>
            <w:vAlign w:val="center"/>
          </w:tcPr>
          <w:p>
            <w:r>
              <w:rPr>
                <w:sz w:val="16"/>
              </w:rPr>
              <w:t>Pendiente de verificar reparto o comisión de trámite.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b/>
                <w:color w:val="5F6C71"/>
                <w:sz w:val="16"/>
              </w:rPr>
              <w:t>Sesión y actividad</w:t>
            </w:r>
          </w:p>
        </w:tc>
        <w:tc>
          <w:tcPr>
            <w:tcW w:type="dxa" w:w="7920"/>
            <w:vAlign w:val="center"/>
          </w:tcPr>
          <w:p>
            <w:r>
              <w:rPr>
                <w:sz w:val="16"/>
              </w:rPr>
              <w:t>Plenaria del Senado del 19 de octubre de 2026, 09:00 hora de Bogotá. Realizada. Recinto de la Plenaria del Senado · Capitolio Nacional. Discusión y votación previstas.</w:t>
            </w:r>
          </w:p>
        </w:tc>
      </w:tr>
    </w:tbl>
    <w:p>
      <w:pPr>
        <w:pStyle w:val="FichaSeccion"/>
      </w:pPr>
      <w:r>
        <w:t>Breve exposición de motivos</w:t>
      </w:r>
    </w:p>
    <w:p>
      <w:r>
        <w:t>Pendiente de verificar la exposición de motivos del texto radicado o su soporte oficial.</w:t>
      </w:r>
    </w:p>
    <w:p>
      <w:pPr>
        <w:pStyle w:val="FichaSeccion"/>
      </w:pPr>
      <w:r>
        <w:t>Objeto del texto radicado</w:t>
      </w:r>
    </w:p>
    <w:p>
      <w:r>
        <w:t>Fija las rentas y recursos de capital, las apropiaciones para funcionamiento, inversión y deuda pública, y las reglas de ejecución del Presupuesto General de la Nación para 2027. Se enlaza la radicación inicial del 29 de julio de 2026; sus montos y articulado pueden diferir de los aprobados después.</w:t>
      </w:r>
    </w:p>
    <w:p>
      <w:pPr>
        <w:pStyle w:val="FichaSeccion"/>
      </w:pPr>
      <w:r>
        <w:t>Análisis del soporte actual</w:t>
      </w:r>
    </w:p>
    <w:p>
      <w:r>
        <w:t>El PL 111 de 2026 Senado / 152 de 2026 Cámara fija ingresos y apropiaciones para funcionamiento, inversión y deuda de 2027. Senado lo aprobó el 19/10; Gaceta 1609 del 21/10 publica 98 artículos y $634.952.040.871.099. Ante textos de plenarias distintos sin conciliación en plazo, el Decreto 1599 del 22/10 invoca el proyecto gubernamental con las modificaciones de primer debate. El 23/10 se verificó su copia oficial íntegra en PTE: 76 páginas, 90 artículos y el mismo monto global en sus artículos 1–2.</w:t>
      </w:r>
    </w:p>
    <w:p>
      <w:r>
        <w:t>Su artículo 65 (p.69) permite coberturas conjuntas FEIF/FEPC y atender costos con servicio de deuda si faltan recursos de los fondos; no contiene los dos parágrafos adicionales de evaluación e informes al Congreso publicados por Cámara. Los artículos 84–85 (p.74) permiten reorientar saldos no comprometidos para desastres, con límites al monto global y respeto de obligaciones y destinaciones. Artículo 90 (p.76): vigencia desde publicación y efectos fiscales desde 1/01/2027; fecha de publicación legal no acreditada aquí. Se preserva el debate del 19/10 como antecedente, sin nueva citación.</w:t>
      </w:r>
    </w:p>
    <w:p>
      <w:r>
        <w:t>El texto radicado enlazado corresponde al original del 29/07, no al decreto. Siguen pendientes consolidado Cámara, actas y votaciones nominales completas; no se presume traslación de todo el segundo debate ni comparación exhaustiva de partidas.</w:t>
      </w:r>
    </w:p>
    <w:p>
      <w:pPr>
        <w:pStyle w:val="FichaSeccion"/>
      </w:pPr>
      <w:r>
        <w:t>Ponentes</w:t>
      </w:r>
    </w:p>
    <w:p>
      <w:r>
        <w:t>Comisión Cuarta del Senado, segundo debate. Coordinadores: Wilson Neber Arias Castillo; Luis Eduardo Díaz Mateus; Wilmer Ramiro Carrillo Mendoza; Carlos Mario Farelo Daza; Carlos Manuel Meisel Vergara. Ponentes: Aida Yolanda Avella Esquivel; John Alejandro Bermeo Rodríguez; Enrique Cabrales Baquero; Wilder Iberson Escobar Ortiz; Laura Ester Fortich Sánchez; Carlos Eduardo Enríquez Caicedo. Fuente: oficio CCU-CS 212-2026 del 24/09/2026. Otras designaciones de ponencia pendientes de verificación.</w:t>
      </w:r>
    </w:p>
    <w:p>
      <w:pPr>
        <w:pStyle w:val="FichaSeccion"/>
      </w:pPr>
      <w:r>
        <w:t>Fuentes y documentos oficiales</w:t>
      </w:r>
    </w:p>
    <w:p>
      <w:pPr>
        <w:spacing w:after="40"/>
      </w:pPr>
      <w:hyperlink r:id="rId9">
        <w:r>
          <w:rPr>
            <w:color w:val="27566B"/>
            <w:u w:val="single"/>
          </w:rPr>
          <w:t>Orden o soporte de sesión</w:t>
        </w:r>
      </w:hyperlink>
    </w:p>
    <w:p>
      <w:pPr>
        <w:spacing w:after="40"/>
      </w:pPr>
      <w:hyperlink r:id="rId10">
        <w:r>
          <w:rPr>
            <w:color w:val="27566B"/>
            <w:u w:val="single"/>
          </w:rPr>
          <w:t>Texto radicado</w:t>
        </w:r>
      </w:hyperlink>
    </w:p>
    <w:p>
      <w:pPr>
        <w:spacing w:after="40"/>
      </w:pPr>
      <w:hyperlink r:id="rId9">
        <w:r>
          <w:rPr>
            <w:color w:val="27566B"/>
            <w:u w:val="single"/>
          </w:rPr>
          <w:t>Ponencia o soporte actual</w:t>
        </w:r>
      </w:hyperlink>
    </w:p>
    <w:p>
      <w:pPr>
        <w:spacing w:after="40"/>
      </w:pPr>
      <w:hyperlink r:id="rId11">
        <w:r>
          <w:rPr>
            <w:color w:val="27566B"/>
            <w:u w:val="single"/>
          </w:rPr>
          <w:t>Fuente de ponentes</w:t>
        </w:r>
      </w:hyperlink>
    </w:p>
    <w:p>
      <w:pPr>
        <w:spacing w:after="40"/>
      </w:pPr>
      <w:hyperlink r:id="rId9">
        <w:r>
          <w:rPr>
            <w:color w:val="27566B"/>
            <w:u w:val="single"/>
          </w:rPr>
          <w:t>Estado actual 23/10/2026</w:t>
        </w:r>
      </w:hyperlink>
    </w:p>
    <w:p>
      <w:pPr>
        <w:pStyle w:val="FichaSeccion"/>
      </w:pPr>
      <w:r>
        <w:t>Notas de verificación</w:t>
      </w:r>
    </w:p>
    <w:p>
      <w:r>
        <w:t>Contenido de la sesión verificado el 23 de octubre de 2026. Texto radicado verificado el 20 de octubre de 2026.</w:t>
      </w:r>
    </w:p>
    <w:sectPr w:rsidR="00FC693F" w:rsidRPr="0006063C" w:rsidSect="00034616">
      <w:footerReference w:type="default" r:id="rId12"/>
      <w:pgSz w:w="11952" w:h="16848"/>
      <w:pgMar w:top="778" w:right="965" w:bottom="806" w:left="9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F6C71"/>
        <w:sz w:val="14"/>
      </w:rPr>
      <w:t>Corte documental: 2026-10-28  ·  Una citación o ponencia no acredita aprobación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162F3B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chaTitulo">
    <w:name w:val="FichaTitulo"/>
    <w:pPr>
      <w:spacing w:before="40" w:after="80"/>
    </w:pPr>
    <w:rPr>
      <w:rFonts w:ascii="Aptos" w:hAnsi="Aptos"/>
      <w:b/>
      <w:color w:val="162F3B"/>
      <w:sz w:val="26"/>
    </w:rPr>
  </w:style>
  <w:style w:type="paragraph" w:customStyle="1" w:styleId="FichaSeccion">
    <w:name w:val="FichaSeccion"/>
    <w:pPr>
      <w:spacing w:before="180" w:after="80"/>
    </w:pPr>
    <w:rPr>
      <w:rFonts w:ascii="Aptos" w:hAnsi="Aptos"/>
      <w:b/>
      <w:color w:val="162F3B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pte.gov.co/documents/d/pte/decreto-no-1599-del-22-de-octubre-de-2026?download=true" TargetMode="External"/><Relationship Id="rId10" Type="http://schemas.openxmlformats.org/officeDocument/2006/relationships/hyperlink" Target="https://leyes.senado.gov.co/p-ley/2026-2027/PL%20111-2026S%20152-2026C%20PRESUPUESTO%20GENERAL%20DE%20LA%20NACION.pdf" TargetMode="External"/><Relationship Id="rId11" Type="http://schemas.openxmlformats.org/officeDocument/2006/relationships/hyperlink" Target="https://www.camara.gov.co/wp-content/uploads/2026/09/Presupuesto-Vigencia-Fiscal-2027/Comision-Cuarta-Constitucional-Permanente/Ponentes-2do-Dte-Comision-Cuarta-de-Senado.pdf" TargetMode="Externa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