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5F6C71"/>
          <w:sz w:val="14"/>
        </w:rPr>
        <w:t>OBSERVATORIO LEGISLATIVO  /  DESPACHO DEL H.S. CARLOS EDUARDO ENRÍQUEZ CAICEDO</w:t>
      </w:r>
    </w:p>
    <w:p>
      <w:pPr>
        <w:pStyle w:val="FichaTitulo"/>
      </w:pPr>
      <w:r>
        <w:t>PL 119 de 2025 Senado</w:t>
      </w:r>
    </w:p>
    <w:p>
      <w:pPr/>
      <w:r>
        <w:rPr>
          <w:b/>
          <w:sz w:val="20"/>
        </w:rPr>
        <w:t>Reconexión de servicios públicos residenciales</w:t>
      </w:r>
    </w:p>
    <w:tbl>
      <w:tblPr>
        <w:tblW w:type="auto" w:w="0"/>
        <w:jc w:val="center"/>
        <w:tblLook w:firstColumn="1" w:firstRow="1" w:lastColumn="0" w:lastRow="0" w:noHBand="0" w:noVBand="1" w:val="04A0"/>
      </w:tblPr>
      <w:tblGrid>
        <w:gridCol w:w="1757"/>
        <w:gridCol w:w="7920"/>
      </w:tblGrid>
      <w:tr>
        <w:tc>
          <w:tcPr>
            <w:tcW w:type="dxa" w:w="1757"/>
            <w:vAlign w:val="center"/>
          </w:tcPr>
          <w:p>
            <w:r>
              <w:rPr>
                <w:b/>
                <w:color w:val="5F6C71"/>
                <w:sz w:val="16"/>
              </w:rPr>
              <w:t>Tipo de ley</w:t>
            </w:r>
          </w:p>
        </w:tc>
        <w:tc>
          <w:tcPr>
            <w:tcW w:type="dxa" w:w="7920"/>
            <w:vAlign w:val="center"/>
          </w:tcPr>
          <w:p>
            <w:r>
              <w:rPr>
                <w:sz w:val="16"/>
              </w:rPr>
              <w:t>Ordinaria</w:t>
            </w:r>
          </w:p>
        </w:tc>
      </w:tr>
      <w:tr>
        <w:tc>
          <w:tcPr>
            <w:tcW w:type="dxa" w:w="1757"/>
            <w:vAlign w:val="center"/>
          </w:tcPr>
          <w:p>
            <w:r>
              <w:rPr>
                <w:b/>
                <w:color w:val="5F6C71"/>
                <w:sz w:val="16"/>
              </w:rPr>
              <w:t>Estado documentado</w:t>
            </w:r>
          </w:p>
        </w:tc>
        <w:tc>
          <w:tcPr>
            <w:tcW w:type="dxa" w:w="7920"/>
            <w:vAlign w:val="center"/>
          </w:tcPr>
          <w:p>
            <w:r>
              <w:rPr>
                <w:sz w:val="16"/>
              </w:rPr>
              <w:t>Último estado documentado: Segundo debate en plenaria del Senado. No se presume un resultado posterior al soporte consultado.</w:t>
            </w:r>
          </w:p>
        </w:tc>
      </w:tr>
      <w:tr>
        <w:tc>
          <w:tcPr>
            <w:tcW w:type="dxa" w:w="1757"/>
            <w:vAlign w:val="center"/>
          </w:tcPr>
          <w:p>
            <w:r>
              <w:rPr>
                <w:b/>
                <w:color w:val="5F6C71"/>
                <w:sz w:val="16"/>
              </w:rPr>
              <w:t>Origen</w:t>
            </w:r>
          </w:p>
        </w:tc>
        <w:tc>
          <w:tcPr>
            <w:tcW w:type="dxa" w:w="7920"/>
            <w:vAlign w:val="center"/>
          </w:tcPr>
          <w:p>
            <w:r>
              <w:rPr>
                <w:sz w:val="16"/>
              </w:rPr>
              <w:t>Senado de la República · iniciativa congresional</w:t>
            </w:r>
          </w:p>
        </w:tc>
      </w:tr>
      <w:tr>
        <w:tc>
          <w:tcPr>
            <w:tcW w:type="dxa" w:w="1757"/>
            <w:vAlign w:val="center"/>
          </w:tcPr>
          <w:p>
            <w:r>
              <w:rPr>
                <w:b/>
                <w:color w:val="5F6C71"/>
                <w:sz w:val="16"/>
              </w:rPr>
              <w:t>Comisión</w:t>
            </w:r>
          </w:p>
        </w:tc>
        <w:tc>
          <w:tcPr>
            <w:tcW w:type="dxa" w:w="7920"/>
            <w:vAlign w:val="center"/>
          </w:tcPr>
          <w:p>
            <w:r>
              <w:rPr>
                <w:sz w:val="16"/>
              </w:rPr>
              <w:t>Comisión Sexta del Senado · reparto informado en el portal; la etapa de esta ficha puede corresponder a plenaria</w:t>
            </w:r>
          </w:p>
        </w:tc>
      </w:tr>
      <w:tr>
        <w:tc>
          <w:tcPr>
            <w:tcW w:type="dxa" w:w="1757"/>
            <w:vAlign w:val="center"/>
          </w:tcPr>
          <w:p>
            <w:r>
              <w:rPr>
                <w:b/>
                <w:color w:val="5F6C71"/>
                <w:sz w:val="16"/>
              </w:rPr>
              <w:t>Sesión y actividad</w:t>
            </w:r>
          </w:p>
        </w:tc>
        <w:tc>
          <w:tcPr>
            <w:tcW w:type="dxa" w:w="7920"/>
            <w:vAlign w:val="center"/>
          </w:tcPr>
          <w:p>
            <w:r>
              <w:rPr>
                <w:sz w:val="16"/>
              </w:rPr>
              <w:t>Plenaria del Senado del 27 de octubre de 2026, 15:00 hora de Bogotá. Citada. Discusión y votación previstas.</w:t>
            </w:r>
          </w:p>
        </w:tc>
      </w:tr>
    </w:tbl>
    <w:p>
      <w:pPr>
        <w:pStyle w:val="FichaSeccion"/>
      </w:pPr>
      <w:r>
        <w:t>Breve exposición de motivos</w:t>
      </w:r>
    </w:p>
    <w:p>
      <w:r>
        <w:t>El autor sostiene que el cobro de reconexión puede convertirse en una barrera adicional para hogares de bajos ingresos que ya pagaron sus facturas atrasadas. La propuesta busca facilitar el restablecimiento de servicios esenciales y evitar costos desproporcionados, con énfasis en la vulnerabilidad económica y habitacional de los estratos 1, 2 y 3.</w:t>
      </w:r>
    </w:p>
    <w:p>
      <w:pPr>
        <w:pStyle w:val="FichaSeccion"/>
      </w:pPr>
      <w:r>
        <w:t>Objeto del texto radicado</w:t>
      </w:r>
    </w:p>
    <w:p>
      <w:r>
        <w:t>Añade el artículo 142A a la Ley 142 de 1994: reconexión sin cargo para estratos 1, 2 y 3 ante mora subsanada por pago o acuerdo, plazo de 24 horas y vigilancia de Superservicios. Exceptúa fraude, manipulación de redes y daño doloso.</w:t>
      </w:r>
    </w:p>
    <w:p>
      <w:pPr>
        <w:pStyle w:val="FichaSeccion"/>
      </w:pPr>
      <w:r>
        <w:t>Análisis del soporte actual</w:t>
      </w:r>
    </w:p>
    <w:p>
      <w:r>
        <w:t>La ponencia 2193/2025 propone un régimen especial para usuarios residenciales de estratos 1, 2 y 3: reconexión o reinstalación sin cobro cuando la suspensión se deba exclusivamente a mora subsanada mediante pago o acuerdo. Restablecimiento máximo en 24 horas; vigilancia de Superservicios. Conserva cobro por fraude, manipulación de redes o daño doloso. No elimina la deuda por consumo ni toda causal de cobro.</w:t>
      </w:r>
    </w:p>
    <w:p>
      <w:pPr>
        <w:pStyle w:val="FichaSeccion"/>
      </w:pPr>
      <w:r>
        <w:t>Ponentes</w:t>
      </w:r>
    </w:p>
    <w:p>
      <w:r>
        <w:t>Gustavo Adolfo Moreno Hurtado · segundo debate en Senado.</w:t>
      </w:r>
    </w:p>
    <w:p>
      <w:pPr>
        <w:pStyle w:val="FichaSeccion"/>
      </w:pPr>
      <w:r>
        <w:t>Fuentes y documentos oficiales</w:t>
      </w:r>
    </w:p>
    <w:p>
      <w:pPr>
        <w:spacing w:after="40"/>
      </w:pPr>
      <w:hyperlink r:id="rId9">
        <w:r>
          <w:rPr>
            <w:color w:val="27566B"/>
            <w:u w:val="single"/>
          </w:rPr>
          <w:t>Orden o soporte de sesión</w:t>
        </w:r>
      </w:hyperlink>
    </w:p>
    <w:p>
      <w:pPr>
        <w:spacing w:after="40"/>
      </w:pPr>
      <w:hyperlink r:id="rId10">
        <w:r>
          <w:rPr>
            <w:color w:val="27566B"/>
            <w:u w:val="single"/>
          </w:rPr>
          <w:t>Texto radicado</w:t>
        </w:r>
      </w:hyperlink>
    </w:p>
    <w:p>
      <w:pPr>
        <w:spacing w:after="40"/>
      </w:pPr>
      <w:hyperlink r:id="rId11">
        <w:r>
          <w:rPr>
            <w:color w:val="27566B"/>
            <w:u w:val="single"/>
          </w:rPr>
          <w:t>Ponencia o soporte actual</w:t>
        </w:r>
      </w:hyperlink>
    </w:p>
    <w:p>
      <w:pPr>
        <w:spacing w:after="40"/>
      </w:pPr>
      <w:hyperlink r:id="rId11">
        <w:r>
          <w:rPr>
            <w:color w:val="27566B"/>
            <w:u w:val="single"/>
          </w:rPr>
          <w:t>Fuente de ponentes</w:t>
        </w:r>
      </w:hyperlink>
    </w:p>
    <w:p>
      <w:pPr>
        <w:spacing w:after="40"/>
      </w:pPr>
      <w:hyperlink r:id="rId12">
        <w:r>
          <w:rPr>
            <w:color w:val="27566B"/>
            <w:u w:val="single"/>
          </w:rPr>
          <w:t>Tipo de ley 28/10/2026</w:t>
        </w:r>
      </w:hyperlink>
    </w:p>
    <w:p>
      <w:pPr>
        <w:spacing w:after="40"/>
      </w:pPr>
      <w:hyperlink r:id="rId9">
        <w:r>
          <w:rPr>
            <w:color w:val="27566B"/>
            <w:u w:val="single"/>
          </w:rPr>
          <w:t>Estado actual 25/10/2026</w:t>
        </w:r>
      </w:hyperlink>
    </w:p>
    <w:p>
      <w:pPr>
        <w:spacing w:after="40"/>
      </w:pPr>
      <w:hyperlink r:id="rId12">
        <w:r>
          <w:rPr>
            <w:color w:val="27566B"/>
            <w:u w:val="single"/>
          </w:rPr>
          <w:t>Origen 28/10/2026</w:t>
        </w:r>
      </w:hyperlink>
    </w:p>
    <w:p>
      <w:pPr>
        <w:spacing w:after="40"/>
      </w:pPr>
      <w:hyperlink r:id="rId12">
        <w:r>
          <w:rPr>
            <w:color w:val="27566B"/>
            <w:u w:val="single"/>
          </w:rPr>
          <w:t>Comisión 28/10/2026</w:t>
        </w:r>
      </w:hyperlink>
    </w:p>
    <w:p>
      <w:pPr>
        <w:spacing w:after="40"/>
      </w:pPr>
      <w:hyperlink r:id="rId10">
        <w:r>
          <w:rPr>
            <w:color w:val="27566B"/>
            <w:u w:val="single"/>
          </w:rPr>
          <w:t>Breve exposición de motivos 28/10/2026</w:t>
        </w:r>
      </w:hyperlink>
    </w:p>
    <w:p>
      <w:pPr>
        <w:pStyle w:val="FichaSeccion"/>
      </w:pPr>
      <w:r>
        <w:t>Notas de verificación</w:t>
      </w:r>
    </w:p>
    <w:p>
      <w:r>
        <w:t>Texto radicado, Exposición de motivos, p. 7.</w:t>
      </w:r>
    </w:p>
    <w:p>
      <w:r>
        <w:t>Contenido de la sesión verificado el 25 de octubre de 2026. Texto radicado verificado el 25 de octubre de 2026.</w:t>
      </w:r>
    </w:p>
    <w:sectPr w:rsidR="00FC693F" w:rsidRPr="0006063C" w:rsidSect="00034616">
      <w:footerReference w:type="default" r:id="rId13"/>
      <w:pgSz w:w="11952" w:h="16848"/>
      <w:pgMar w:top="778" w:right="965" w:bottom="806"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71"/>
        <w:sz w:val="14"/>
      </w:rPr>
      <w:t>Corte documental: 2026-10-28  ·  Una citación o ponencia no acredita aprobación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62F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chaTitulo">
    <w:name w:val="FichaTitulo"/>
    <w:pPr>
      <w:spacing w:before="40" w:after="80"/>
    </w:pPr>
    <w:rPr>
      <w:rFonts w:ascii="Aptos" w:hAnsi="Aptos"/>
      <w:b/>
      <w:color w:val="162F3B"/>
      <w:sz w:val="26"/>
    </w:rPr>
  </w:style>
  <w:style w:type="paragraph" w:customStyle="1" w:styleId="FichaSeccion">
    <w:name w:val="FichaSeccion"/>
    <w:pPr>
      <w:spacing w:before="180" w:after="80"/>
    </w:pPr>
    <w:rPr>
      <w:rFonts w:ascii="Aptos" w:hAnsi="Aptos"/>
      <w:b/>
      <w:color w:val="162F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vrpubindc.imprenta.gov.co/senado/index2.xhtml?ent=Senado&amp;fec=23-09-2026&amp;num=1378" TargetMode="External"/><Relationship Id="rId10" Type="http://schemas.openxmlformats.org/officeDocument/2006/relationships/hyperlink" Target="https://leyes.senado.gov.co/p-ley/2025-2026/PL%20119-25%20-%20COBRO%20RECONEXION.pdf" TargetMode="External"/><Relationship Id="rId11" Type="http://schemas.openxmlformats.org/officeDocument/2006/relationships/hyperlink" Target="https://svrpubindc.imprenta.gov.co/senado/index2.xhtml?ent=Senado&amp;fec=19-11-2025&amp;num=2193" TargetMode="External"/><Relationship Id="rId12" Type="http://schemas.openxmlformats.org/officeDocument/2006/relationships/hyperlink" Target="https://leyes.senado.gov.co/api/get_detalle_pdly.php?id=9658"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