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295 de 2025 Senado</w:t>
      </w:r>
    </w:p>
    <w:p>
      <w:pPr/>
      <w:r>
        <w:rPr>
          <w:b/>
          <w:sz w:val="20"/>
        </w:rPr>
        <w:t>Incompatibilidad sobreviniente de alcaldes y gobernadores por parentesco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Primera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identifica un vacío en la incompatibilidad sobreviniente cuando un alcalde o gobernador en ejercicio tiene determinados vínculos familiares con una persona inscrita o elegida al Congreso. El autor busca prevenir el uso del poder territorial para favorecer esas candidaturas y proteger la separación funcional, la igualdad electoral y la transparencia, sin atribuir conductas concretas a personas determinadas.</w:t>
      </w:r>
    </w:p>
    <w:p>
      <w:pPr>
        <w:pStyle w:val="FichaSeccion"/>
      </w:pPr>
      <w:r>
        <w:t>Objeto del texto radicado</w:t>
      </w:r>
    </w:p>
    <w:p>
      <w:r>
        <w:t>Texto inicial, PDF oficial de 14 páginas leído (articulado en p. 3): adiciona los arts. 96A a la Ley 136/1994 y 113A a la Ley 2200/2022. Propone incompatibilidad para alcaldes y gobernadores si, durante su mandato, cónyuge, pareja permanente o pariente en tercer grado de consanguinidad, primero de afinidad o único civil es inscrito, elegido o se posesiona como congresista. El original no incluye presidente ni vicepresidente y difiere de la ponencia posterior. Este campo completa el pendiente anterior de lectura del articulado; el ponente vigente sigue pendiente.</w:t>
      </w:r>
    </w:p>
    <w:p>
      <w:pPr>
        <w:pStyle w:val="FichaSeccion"/>
      </w:pPr>
      <w:r>
        <w:t>Análisis del soporte actual</w:t>
      </w:r>
    </w:p>
    <w:p>
      <w:r>
        <w:t>El texto para segundo debate de la Gaceta 2127 del 10/11/2025 añade incompatibilidad sobreviniente a alcaldes y gobernadores cuando, durante su cargo, cónyuge, pareja permanente o pariente en segundo grado de consanguinidad, primero de afinidad o único civil sea inscrito, elegido o se posesione como congresista, presidente o vicepresidente. El orden aportado cita por error 2127/2026 e identifica a Carlos Alberto Benavides Mora. La ponencia pública de 2025 incluye a este senador entre varios ponentes: está pendiente corroborar la designación vigente de 2026.</w:t>
      </w:r>
    </w:p>
    <w:p>
      <w:r>
        <w:t>El PDF inicial del portal y la Gaceta 1963/2025 contienen exposición y firmas, pero no se pudo verificar íntegramente el articulado inicial; se omiten campos de ficha original hasta resolverlo.</w:t>
      </w:r>
    </w:p>
    <w:p>
      <w:pPr>
        <w:pStyle w:val="FichaSeccion"/>
      </w:pPr>
      <w:r>
        <w:t>Ponentes</w:t>
      </w:r>
    </w:p>
    <w:p>
      <w:r>
        <w:t>Designación oficial pendiente de verificación.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objeto y defensa del equilibrio de poderes, p. 6.</w:t>
      </w:r>
    </w:p>
    <w:p>
      <w:r>
        <w:t>Contenido de la sesión verificado el 25 de octubre de 2026. Texto radicado verificado el 26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295-2025%20-%20INCOMPATIBILIDAD%20SOBREVINIENTE%20NUEVA.pdf" TargetMode="External"/><Relationship Id="rId11" Type="http://schemas.openxmlformats.org/officeDocument/2006/relationships/hyperlink" Target="https://svrpubindc.imprenta.gov.co/senado/index2.xhtml?ent=Senado&amp;fec=10-11-2025&amp;num=2127" TargetMode="External"/><Relationship Id="rId12" Type="http://schemas.openxmlformats.org/officeDocument/2006/relationships/hyperlink" Target="https://leyes.senado.gov.co/api/get_detalle_pdly.php?id=9834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