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011 de 2025 Senado</w:t>
      </w:r>
    </w:p>
    <w:p>
      <w:pPr/>
      <w:r>
        <w:rPr>
          <w:b/>
          <w:sz w:val="20"/>
        </w:rPr>
        <w:t>Homenaje a los 208 años de la fundación de Achí, Bolívar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Senado; ponencia positiva, Gaceta 1288/2026.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Segunda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autora fundamenta el homenaje en la trayectoria histórica de Achí, su formación como poblado y municipio y el aporte de sus habitantes. La conmemoración de los 208 años sirve de motivo para asociar a la Nación al reconocimiento y autorizar apoyos presupuestales para las actividades y obras propuestas.</w:t>
      </w:r>
    </w:p>
    <w:p>
      <w:pPr>
        <w:pStyle w:val="FichaSeccion"/>
      </w:pPr>
      <w:r>
        <w:t>Objeto del texto radicado</w:t>
      </w:r>
    </w:p>
    <w:p>
      <w:r>
        <w:t>Rinde homenaje a los 208 años de Achí y autoriza incorporar recursos para palacio municipal, malecón, alcantarillado y nueva sede del Hospital San José. Las apropiaciones se sujetan a las reglas y disponibilidades presupuestales. Corresponde al texto inicial, no a la ponencia posterior.</w:t>
      </w:r>
    </w:p>
    <w:p>
      <w:pPr>
        <w:pStyle w:val="FichaSeccion"/>
      </w:pPr>
      <w:r>
        <w:t>Análisis del soporte actual</w:t>
      </w:r>
    </w:p>
    <w:p>
      <w:r>
        <w:t>La ponencia positiva propone asociar a la Nación y al Congreso a los 208 años de fundación de Achí y reconocer el aporte de sus habitantes. El texto para segundo debate autoriza al Gobierno a incorporar en el PGN y promover mediante cofinanciación proyectos de sede administrativa o palacio municipal, malecón, alcantarillado y nueva sede de la ESE Hospital San José de Achí. Las autorizaciones se incorporarían conforme a las normas orgánicas presupuestales, primero reasignando recursos existentes y luego según las disponibilidades de cada vigencia; no son apropiaciones automáticas ni obras ya financiadas.</w:t>
      </w:r>
    </w:p>
    <w:p>
      <w:r>
        <w:t>Ponente para segundo debate: Agmeth José Escaf Tijerino. Número de Cámara no indicado en el orden ni en la ponencia consultada.</w:t>
      </w:r>
    </w:p>
    <w:p>
      <w:pPr>
        <w:pStyle w:val="FichaSeccion"/>
      </w:pPr>
      <w:r>
        <w:t>Ponentes</w:t>
      </w:r>
    </w:p>
    <w:p>
      <w:r>
        <w:t>Agmeth José Escaf Tijerino · ponente para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3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 y justificación, p. 4.</w:t>
      </w:r>
    </w:p>
    <w:p>
      <w:r>
        <w:t>Contenido de la sesión verificado el 25 de octubre de 2026. Texto radicado verificado el 20 de octubre de 2026.</w:t>
      </w:r>
    </w:p>
    <w:sectPr w:rsidR="00FC693F" w:rsidRPr="0006063C" w:rsidSect="00034616">
      <w:footerReference w:type="default" r:id="rId14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011-25%20-%20ACHI.pdf" TargetMode="External"/><Relationship Id="rId11" Type="http://schemas.openxmlformats.org/officeDocument/2006/relationships/hyperlink" Target="https://svrpubindc.imprenta.gov.co/senado/index2.xhtml?ent=Senado&amp;fec=15-09-2026&amp;num=1288" TargetMode="External"/><Relationship Id="rId12" Type="http://schemas.openxmlformats.org/officeDocument/2006/relationships/hyperlink" Target="https://www.secretariasenado.gov.co/orden-del-dia-senado/18452-orden-del-dia-20-de-octubre-2026-261019-230121/file" TargetMode="External"/><Relationship Id="rId13" Type="http://schemas.openxmlformats.org/officeDocument/2006/relationships/hyperlink" Target="https://leyes.senado.gov.co/api/get_detalle_pdly.php?id=9550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