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087 de 2026 Senado</w:t>
      </w:r>
    </w:p>
    <w:p>
      <w:pPr/>
      <w:r>
        <w:rPr>
          <w:b/>
          <w:sz w:val="20"/>
        </w:rPr>
        <w:t>Homenaje a San Benito Abad, Sucre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sustenta el homenaje en la importancia histórica, económica y cultural de San Benito Abad y en la facultad del Congreso para reconocer ese patrimonio y autorizar inversiones de interés público. Vincula la conmemoración con infraestructura y bienestar de la población, sujetos a las condiciones presupuestales del proyecto.</w:t>
      </w:r>
    </w:p>
    <w:p>
      <w:pPr>
        <w:pStyle w:val="FichaSeccion"/>
      </w:pPr>
      <w:r>
        <w:t>Objeto del texto radicado</w:t>
      </w:r>
    </w:p>
    <w:p>
      <w:r>
        <w:t>Reconoce la importancia histórica, económica y cultural de San Benito Abad. Autoriza partidas para muelle turístico, hospital y vías terciarias, sin afectar sostenibilidad fiscal y conforme a disponibilidad presupuestal.</w:t>
      </w:r>
    </w:p>
    <w:p>
      <w:pPr>
        <w:pStyle w:val="FichaSeccion"/>
      </w:pPr>
      <w:r>
        <w:t>Análisis del soporte actual</w:t>
      </w:r>
    </w:p>
    <w:p>
      <w:r>
        <w:t>La Gaceta 1378/2026 incluye la ponencia de reconocimiento a San Benito Abad y proyectos de muelle turístico, infraestructura hospitalaria y vías terciarias. Las autorizaciones de gasto se sujetan a normas presupuestales, disponibilidades y posibles aportes territoriales o privados; no son apropiaciones automáticas. El nombre del archivo inicial contiene la errata «ABAB».</w:t>
      </w:r>
    </w:p>
    <w:p>
      <w:pPr>
        <w:pStyle w:val="FichaSeccion"/>
      </w:pPr>
      <w:r>
        <w:t>Ponentes</w:t>
      </w:r>
    </w:p>
    <w:p>
      <w:r>
        <w:t>Antonio José Correa Jiménez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 y fundamentos jurídicos, p. 4.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2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L%20087-2026%20-%20SAN%20BENITO%20ABAB.pdf" TargetMode="External"/><Relationship Id="rId11" Type="http://schemas.openxmlformats.org/officeDocument/2006/relationships/hyperlink" Target="https://leyes.senado.gov.co/api/get_detalle_pdly.php?id=10010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