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089 de 2026 Senado</w:t>
      </w:r>
    </w:p>
    <w:p>
      <w:pPr/>
      <w:r>
        <w:rPr>
          <w:b/>
          <w:sz w:val="20"/>
        </w:rPr>
        <w:t>Día de la Baracunatana y Anhelos · Lisandro Meza y Alfredo Gutiérrez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Segunda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La exposición fundamenta el homenaje en el aporte de Lisandro Meza y Alfredo Gutiérrez a la música colombiana y a su proyección internacional. Invoca la competencia legislativa para reconocer ese legado cultural y apoyar su difusión, mediante conmemoraciones y las medidas de promoción previstas por la iniciativa.</w:t>
      </w:r>
    </w:p>
    <w:p>
      <w:pPr>
        <w:pStyle w:val="FichaSeccion"/>
      </w:pPr>
      <w:r>
        <w:t>Objeto del texto radicado</w:t>
      </w:r>
    </w:p>
    <w:p>
      <w:r>
        <w:t>Homenajea a Lisandro Meza y Alfredo Gutiérrez y crea la conmemoración del 28 de noviembre. Autoriza proyectos de salón comunal, monumentos, instrumentos, alcantarillado y parques en Los Palmitos, sujetos a las reglas presupuestales.</w:t>
      </w:r>
    </w:p>
    <w:p>
      <w:pPr>
        <w:pStyle w:val="FichaSeccion"/>
      </w:pPr>
      <w:r>
        <w:t>Análisis del soporte actual</w:t>
      </w:r>
    </w:p>
    <w:p>
      <w:r>
        <w:t>La ponencia 1378/2026 homenajea a Lisandro Meza y Alfredo Gutiérrez mediante la conmemoración del 28 de noviembre. Autoriza cofinanciación de salón comunal, monumentos, instrumentos musicales, alcantarillado de El Coley y parques rurales de Los Palmitos. El gasto está sujeto a normas y disponibilidades presupuestales; no se informa ejecución o financiación aprobada.</w:t>
      </w:r>
    </w:p>
    <w:p>
      <w:pPr>
        <w:pStyle w:val="FichaSeccion"/>
      </w:pPr>
      <w:r>
        <w:t>Ponentes</w:t>
      </w:r>
    </w:p>
    <w:p>
      <w:r>
        <w:t>Antonio José Correa Jiménez · segundo debate en Senado.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 y fundamentos jurídicos, p. 5.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2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6-2027/PL%20089-2026%20-%20DIA%20DE%20LA%20BARACUNATA.pdf" TargetMode="External"/><Relationship Id="rId11" Type="http://schemas.openxmlformats.org/officeDocument/2006/relationships/hyperlink" Target="https://leyes.senado.gov.co/api/get_detalle_pdly.php?id=10012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