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/>
      <w:r>
        <w:rPr>
          <w:b/>
          <w:color w:val="5F6C71"/>
          <w:sz w:val="14"/>
        </w:rPr>
        <w:t>OBSERVATORIO LEGISLATIVO  /  DESPACHO DEL H.S. CARLOS EDUARDO ENRÍQUEZ CAICEDO</w:t>
      </w:r>
    </w:p>
    <w:p>
      <w:pPr>
        <w:pStyle w:val="FichaTitulo"/>
      </w:pPr>
      <w:r>
        <w:t>PL 103 de 2025 Senado</w:t>
      </w:r>
    </w:p>
    <w:p>
      <w:pPr/>
      <w:r>
        <w:rPr>
          <w:b/>
          <w:sz w:val="20"/>
        </w:rPr>
        <w:t>Bebederos de agua potable en espacio público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757"/>
        <w:gridCol w:w="7920"/>
      </w:tblGrid>
      <w:tr>
        <w:tc>
          <w:tcPr>
            <w:tcW w:type="dxa" w:w="1757"/>
            <w:vAlign w:val="center"/>
          </w:tcPr>
          <w:p>
            <w:r>
              <w:rPr>
                <w:b/>
                <w:color w:val="5F6C71"/>
                <w:sz w:val="16"/>
              </w:rPr>
              <w:t>Tipo de ley</w:t>
            </w:r>
          </w:p>
        </w:tc>
        <w:tc>
          <w:tcPr>
            <w:tcW w:type="dxa" w:w="7920"/>
            <w:vAlign w:val="center"/>
          </w:tcPr>
          <w:p>
            <w:r>
              <w:rPr>
                <w:sz w:val="16"/>
              </w:rPr>
              <w:t>Ordinaria</w:t>
            </w:r>
          </w:p>
        </w:tc>
      </w:tr>
      <w:tr>
        <w:tc>
          <w:tcPr>
            <w:tcW w:type="dxa" w:w="1757"/>
            <w:vAlign w:val="center"/>
          </w:tcPr>
          <w:p>
            <w:r>
              <w:rPr>
                <w:b/>
                <w:color w:val="5F6C71"/>
                <w:sz w:val="16"/>
              </w:rPr>
              <w:t>Estado documentado</w:t>
            </w:r>
          </w:p>
        </w:tc>
        <w:tc>
          <w:tcPr>
            <w:tcW w:type="dxa" w:w="7920"/>
            <w:vAlign w:val="center"/>
          </w:tcPr>
          <w:p>
            <w:r>
              <w:rPr>
                <w:sz w:val="16"/>
              </w:rPr>
              <w:t>Último estado documentado: Segundo debate en plenaria del Senado. No se presume un resultado posterior al soporte consultado.</w:t>
            </w:r>
          </w:p>
        </w:tc>
      </w:tr>
      <w:tr>
        <w:tc>
          <w:tcPr>
            <w:tcW w:type="dxa" w:w="1757"/>
            <w:vAlign w:val="center"/>
          </w:tcPr>
          <w:p>
            <w:r>
              <w:rPr>
                <w:b/>
                <w:color w:val="5F6C71"/>
                <w:sz w:val="16"/>
              </w:rPr>
              <w:t>Origen</w:t>
            </w:r>
          </w:p>
        </w:tc>
        <w:tc>
          <w:tcPr>
            <w:tcW w:type="dxa" w:w="7920"/>
            <w:vAlign w:val="center"/>
          </w:tcPr>
          <w:p>
            <w:r>
              <w:rPr>
                <w:sz w:val="16"/>
              </w:rPr>
              <w:t>Senado de la República · iniciativa congresional</w:t>
            </w:r>
          </w:p>
        </w:tc>
      </w:tr>
      <w:tr>
        <w:tc>
          <w:tcPr>
            <w:tcW w:type="dxa" w:w="1757"/>
            <w:vAlign w:val="center"/>
          </w:tcPr>
          <w:p>
            <w:r>
              <w:rPr>
                <w:b/>
                <w:color w:val="5F6C71"/>
                <w:sz w:val="16"/>
              </w:rPr>
              <w:t>Comisión</w:t>
            </w:r>
          </w:p>
        </w:tc>
        <w:tc>
          <w:tcPr>
            <w:tcW w:type="dxa" w:w="7920"/>
            <w:vAlign w:val="center"/>
          </w:tcPr>
          <w:p>
            <w:r>
              <w:rPr>
                <w:sz w:val="16"/>
              </w:rPr>
              <w:t>Comisión Septima del Senado · reparto informado en el portal; la etapa de esta ficha puede corresponder a plenaria</w:t>
            </w:r>
          </w:p>
        </w:tc>
      </w:tr>
      <w:tr>
        <w:tc>
          <w:tcPr>
            <w:tcW w:type="dxa" w:w="1757"/>
            <w:vAlign w:val="center"/>
          </w:tcPr>
          <w:p>
            <w:r>
              <w:rPr>
                <w:b/>
                <w:color w:val="5F6C71"/>
                <w:sz w:val="16"/>
              </w:rPr>
              <w:t>Sesión y actividad</w:t>
            </w:r>
          </w:p>
        </w:tc>
        <w:tc>
          <w:tcPr>
            <w:tcW w:type="dxa" w:w="7920"/>
            <w:vAlign w:val="center"/>
          </w:tcPr>
          <w:p>
            <w:r>
              <w:rPr>
                <w:sz w:val="16"/>
              </w:rPr>
              <w:t>Plenaria del Senado del 27 de octubre de 2026, 15:00 hora de Bogotá. Citada. Discusión y votación previstas.</w:t>
            </w:r>
          </w:p>
        </w:tc>
      </w:tr>
    </w:tbl>
    <w:p>
      <w:pPr>
        <w:pStyle w:val="FichaSeccion"/>
      </w:pPr>
      <w:r>
        <w:t>Breve exposición de motivos</w:t>
      </w:r>
    </w:p>
    <w:p>
      <w:r>
        <w:t>La justificación relaciona el acceso insuficiente al agua potable con desigualdades y problemas de salud e higiene, y propone ampliar los puntos de acceso gratuito en espacios públicos y áreas dotacionales. Cita antecedentes de iniciativas archivadas y datos sobre acceso al agua como sustento de la necesidad de retomar la medida.</w:t>
      </w:r>
    </w:p>
    <w:p>
      <w:pPr>
        <w:pStyle w:val="FichaSeccion"/>
      </w:pPr>
      <w:r>
        <w:t>Objeto del texto radicado</w:t>
      </w:r>
    </w:p>
    <w:p>
      <w:r>
        <w:t>Dispone bebederos de agua potable gratuitos, calidad sanitaria, accesibilidad y mantenimiento. El original prevé cuatro años y cobertura superior al 95%, obligación para municipios de categoría uno o especial y progresividad para otros; la ponencia posterior modifica esos parámetros.</w:t>
      </w:r>
    </w:p>
    <w:p>
      <w:pPr>
        <w:pStyle w:val="FichaSeccion"/>
      </w:pPr>
      <w:r>
        <w:t>Análisis del soporte actual</w:t>
      </w:r>
    </w:p>
    <w:p>
      <w:r>
        <w:t>La ponencia 1307/2026 propone instalación de bebederos gratuitos, priorizando instituciones educativas y espacios de gran afluencia; establece calidad, mantenimiento, accesibilidad y condiciones especiales en zonas costeras. Prevé tres años, disponibilidad presupuestal y cobertura de agua superior al 90%; obligación para categoría uno o especial y progresividad en las demás. Prioriza el acceso domiciliario de población vulnerable. Algunos encabezados de la ponencia dicen 103/2026; el auto de publicación, el original y el orden identifican 103/2025.</w:t>
      </w:r>
    </w:p>
    <w:p>
      <w:pPr>
        <w:pStyle w:val="FichaSeccion"/>
      </w:pPr>
      <w:r>
        <w:t>Ponentes</w:t>
      </w:r>
    </w:p>
    <w:p>
      <w:r>
        <w:t>Duvalier Sánchez Arango · segundo debate en Senado.</w:t>
      </w:r>
    </w:p>
    <w:p>
      <w:pPr>
        <w:pStyle w:val="FichaSeccion"/>
      </w:pPr>
      <w:r>
        <w:t>Fuentes y documentos oficiales</w:t>
      </w:r>
    </w:p>
    <w:p>
      <w:pPr>
        <w:spacing w:after="40"/>
      </w:pPr>
      <w:hyperlink r:id="rId9">
        <w:r>
          <w:rPr>
            <w:color w:val="27566B"/>
            <w:u w:val="single"/>
          </w:rPr>
          <w:t>Orden o soporte de sesión</w:t>
        </w:r>
      </w:hyperlink>
    </w:p>
    <w:p>
      <w:pPr>
        <w:spacing w:after="40"/>
      </w:pPr>
      <w:hyperlink r:id="rId10">
        <w:r>
          <w:rPr>
            <w:color w:val="27566B"/>
            <w:u w:val="single"/>
          </w:rPr>
          <w:t>Texto radicado</w:t>
        </w:r>
      </w:hyperlink>
    </w:p>
    <w:p>
      <w:pPr>
        <w:spacing w:after="40"/>
      </w:pPr>
      <w:hyperlink r:id="rId11">
        <w:r>
          <w:rPr>
            <w:color w:val="27566B"/>
            <w:u w:val="single"/>
          </w:rPr>
          <w:t>Ponencia o soporte actual</w:t>
        </w:r>
      </w:hyperlink>
    </w:p>
    <w:p>
      <w:pPr>
        <w:spacing w:after="40"/>
      </w:pPr>
      <w:hyperlink r:id="rId12">
        <w:r>
          <w:rPr>
            <w:color w:val="27566B"/>
            <w:u w:val="single"/>
          </w:rPr>
          <w:t>Fuente de ponentes</w:t>
        </w:r>
      </w:hyperlink>
    </w:p>
    <w:p>
      <w:pPr>
        <w:spacing w:after="40"/>
      </w:pPr>
      <w:hyperlink r:id="rId12">
        <w:r>
          <w:rPr>
            <w:color w:val="27566B"/>
            <w:u w:val="single"/>
          </w:rPr>
          <w:t>Tipo de ley 28/10/2026</w:t>
        </w:r>
      </w:hyperlink>
    </w:p>
    <w:p>
      <w:pPr>
        <w:spacing w:after="40"/>
      </w:pPr>
      <w:hyperlink r:id="rId9">
        <w:r>
          <w:rPr>
            <w:color w:val="27566B"/>
            <w:u w:val="single"/>
          </w:rPr>
          <w:t>Estado actual 25/10/2026</w:t>
        </w:r>
      </w:hyperlink>
    </w:p>
    <w:p>
      <w:pPr>
        <w:spacing w:after="40"/>
      </w:pPr>
      <w:hyperlink r:id="rId12">
        <w:r>
          <w:rPr>
            <w:color w:val="27566B"/>
            <w:u w:val="single"/>
          </w:rPr>
          <w:t>Origen 28/10/2026</w:t>
        </w:r>
      </w:hyperlink>
    </w:p>
    <w:p>
      <w:pPr>
        <w:spacing w:after="40"/>
      </w:pPr>
      <w:hyperlink r:id="rId12">
        <w:r>
          <w:rPr>
            <w:color w:val="27566B"/>
            <w:u w:val="single"/>
          </w:rPr>
          <w:t>Comisión 28/10/2026</w:t>
        </w:r>
      </w:hyperlink>
    </w:p>
    <w:p>
      <w:pPr>
        <w:spacing w:after="40"/>
      </w:pPr>
      <w:hyperlink r:id="rId10">
        <w:r>
          <w:rPr>
            <w:color w:val="27566B"/>
            <w:u w:val="single"/>
          </w:rPr>
          <w:t>Breve exposición de motivos 28/10/2026</w:t>
        </w:r>
      </w:hyperlink>
    </w:p>
    <w:p>
      <w:pPr>
        <w:pStyle w:val="FichaSeccion"/>
      </w:pPr>
      <w:r>
        <w:t>Notas de verificación</w:t>
      </w:r>
    </w:p>
    <w:p>
      <w:r>
        <w:t>Texto radicado, antecedentes y justificación, pp. 4–5.</w:t>
      </w:r>
    </w:p>
    <w:p>
      <w:r>
        <w:t>Contenido de la sesión verificado el 25 de octubre de 2026. Texto radicado verificado el 25 de octubre de 2026.</w:t>
      </w:r>
    </w:p>
    <w:sectPr w:rsidR="00FC693F" w:rsidRPr="0006063C" w:rsidSect="00034616">
      <w:footerReference w:type="default" r:id="rId13"/>
      <w:pgSz w:w="11952" w:h="16848"/>
      <w:pgMar w:top="778" w:right="965" w:bottom="806" w:left="96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F6C71"/>
        <w:sz w:val="14"/>
      </w:rPr>
      <w:t>Corte documental: 2026-10-28  ·  Una citación o ponencia no acredita aprobación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Aptos" w:hAnsi="Aptos"/>
      <w:color w:val="162F3B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FichaTitulo">
    <w:name w:val="FichaTitulo"/>
    <w:pPr>
      <w:spacing w:before="40" w:after="80"/>
    </w:pPr>
    <w:rPr>
      <w:rFonts w:ascii="Aptos" w:hAnsi="Aptos"/>
      <w:b/>
      <w:color w:val="162F3B"/>
      <w:sz w:val="26"/>
    </w:rPr>
  </w:style>
  <w:style w:type="paragraph" w:customStyle="1" w:styleId="FichaSeccion">
    <w:name w:val="FichaSeccion"/>
    <w:pPr>
      <w:spacing w:before="180" w:after="80"/>
    </w:pPr>
    <w:rPr>
      <w:rFonts w:ascii="Aptos" w:hAnsi="Aptos"/>
      <w:b/>
      <w:color w:val="162F3B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svrpubindc.imprenta.gov.co/senado/index2.xhtml?ent=Senado&amp;fec=23-09-2026&amp;num=1378" TargetMode="External"/><Relationship Id="rId10" Type="http://schemas.openxmlformats.org/officeDocument/2006/relationships/hyperlink" Target="https://leyes.senado.gov.co/p-ley/2025-2026/PL%20103-25%20-%20BEBEDEROS%20DE%20AGUA%20POTABLE.pdf" TargetMode="External"/><Relationship Id="rId11" Type="http://schemas.openxmlformats.org/officeDocument/2006/relationships/hyperlink" Target="https://svrpubindc.imprenta.gov.co/senado/index2.xhtml?ent=Senado&amp;fec=17-09-2026&amp;num=1307" TargetMode="External"/><Relationship Id="rId12" Type="http://schemas.openxmlformats.org/officeDocument/2006/relationships/hyperlink" Target="https://leyes.senado.gov.co/api/get_detalle_pdly.php?id=9642" TargetMode="External"/><Relationship Id="rId13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