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106 de 2026 Senado</w:t>
      </w:r>
    </w:p>
    <w:p>
      <w:pPr/>
      <w:r>
        <w:rPr>
          <w:b/>
          <w:sz w:val="20"/>
        </w:rPr>
        <w:t>Sostenimiento estudiantil y transferencias monetarias juveniles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Sexta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El autor considera que las restricciones fiscales y la competencia por recursos pueden debilitar los apoyos que permiten a los estudiantes permanecer en el sistema educativo. Justifica la prioridad propuesta como una inversión de largo plazo para reducir la deserción y fortalecer la formación; se describe el fundamento del texto inicial, distinto del articulado modificado de la ponencia.</w:t>
      </w:r>
    </w:p>
    <w:p>
      <w:pPr>
        <w:pStyle w:val="FichaSeccion"/>
      </w:pPr>
      <w:r>
        <w:t>Objeto del texto radicado</w:t>
      </w:r>
    </w:p>
    <w:p>
      <w:r>
        <w:t>Añade un parágrafo al artículo 3 de la Ley 2307 de 2023: prioridad de disponibilidad presupuestal del sostenimiento estudiantil sobre transferencias monetarias juveniles. La ponencia posterior desarrolla articulación, salvaguardas y priorización progresiva.</w:t>
      </w:r>
    </w:p>
    <w:p>
      <w:pPr>
        <w:pStyle w:val="FichaSeccion"/>
      </w:pPr>
      <w:r>
        <w:t>Análisis del soporte actual</w:t>
      </w:r>
    </w:p>
    <w:p>
      <w:r>
        <w:t>La ponencia 1442/2026 supera la prioridad general que sugiere el título: encarga a Educación y DPS priorizar progresivamente apoyos de sostenimiento a estudiantes de pregrado de instituciones públicas dentro de recursos disponibles. Articula transferencias juveniles, evita duplicidades o perjuicios y preserva programas de pobreza, vulnerabilidad o especial protección con finalidad distinta al sostenimiento educativo. No crea una apropiación autónoma ni elimina todas las demás transferencias.</w:t>
      </w:r>
    </w:p>
    <w:p>
      <w:pPr>
        <w:pStyle w:val="FichaSeccion"/>
      </w:pPr>
      <w:r>
        <w:t>Ponentes</w:t>
      </w:r>
    </w:p>
    <w:p>
      <w:r>
        <w:t>Julia Correa Nuttin · ponente única para segundo debate.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objeto y justificación, p. 3.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L%20106-2026%20-%20TRANSFERENCIAS%20MONETARIAS.pdf" TargetMode="External"/><Relationship Id="rId11" Type="http://schemas.openxmlformats.org/officeDocument/2006/relationships/hyperlink" Target="https://svrpubindc.imprenta.gov.co/senado/index2.xhtml?ent=Senado&amp;fec=30-09-2026&amp;num=1442" TargetMode="External"/><Relationship Id="rId12" Type="http://schemas.openxmlformats.org/officeDocument/2006/relationships/hyperlink" Target="https://leyes.senado.gov.co/api/get_detalle_pdly.php?id=10029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