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5F6C71"/>
          <w:sz w:val="14"/>
        </w:rPr>
        <w:t>OBSERVATORIO LEGISLATIVO  /  DESPACHO DEL H.S. CARLOS EDUARDO ENRÍQUEZ CAICEDO</w:t>
      </w:r>
    </w:p>
    <w:p>
      <w:pPr>
        <w:pStyle w:val="FichaTitulo"/>
      </w:pPr>
      <w:r>
        <w:t>PL 113 de 2026 Senado</w:t>
      </w:r>
    </w:p>
    <w:p>
      <w:pPr/>
      <w:r>
        <w:rPr>
          <w:b/>
          <w:sz w:val="20"/>
        </w:rPr>
        <w:t>Política pública de formación por ciclos cortos tecnológicos para la empleabilidad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57"/>
        <w:gridCol w:w="7920"/>
      </w:tblGrid>
      <w:tr>
        <w:tc>
          <w:tcPr>
            <w:tcW w:type="dxa" w:w="1757"/>
            <w:vAlign w:val="center"/>
          </w:tcPr>
          <w:p>
            <w:r>
              <w:rPr>
                <w:b/>
                <w:color w:val="5F6C71"/>
                <w:sz w:val="16"/>
              </w:rPr>
              <w:t>Tipo de ley</w:t>
            </w:r>
          </w:p>
        </w:tc>
        <w:tc>
          <w:tcPr>
            <w:tcW w:type="dxa" w:w="7920"/>
            <w:vAlign w:val="center"/>
          </w:tcPr>
          <w:p>
            <w:r>
              <w:rPr>
                <w:sz w:val="16"/>
              </w:rPr>
              <w:t>Ordinaria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b/>
                <w:color w:val="5F6C71"/>
                <w:sz w:val="16"/>
              </w:rPr>
              <w:t>Estado documentado</w:t>
            </w:r>
          </w:p>
        </w:tc>
        <w:tc>
          <w:tcPr>
            <w:tcW w:type="dxa" w:w="7920"/>
            <w:vAlign w:val="center"/>
          </w:tcPr>
          <w:p>
            <w:r>
              <w:rPr>
                <w:sz w:val="16"/>
              </w:rPr>
              <w:t>Último estado documentado: Segundo debate en plenaria del Senado; ponencia positiva, Gaceta 1382/2026. No se presume un resultado posterior al soporte consultado.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b/>
                <w:color w:val="5F6C71"/>
                <w:sz w:val="16"/>
              </w:rPr>
              <w:t>Origen</w:t>
            </w:r>
          </w:p>
        </w:tc>
        <w:tc>
          <w:tcPr>
            <w:tcW w:type="dxa" w:w="7920"/>
            <w:vAlign w:val="center"/>
          </w:tcPr>
          <w:p>
            <w:r>
              <w:rPr>
                <w:sz w:val="16"/>
              </w:rPr>
              <w:t>Senado de la República · iniciativa congresional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b/>
                <w:color w:val="5F6C71"/>
                <w:sz w:val="16"/>
              </w:rPr>
              <w:t>Comisión</w:t>
            </w:r>
          </w:p>
        </w:tc>
        <w:tc>
          <w:tcPr>
            <w:tcW w:type="dxa" w:w="7920"/>
            <w:vAlign w:val="center"/>
          </w:tcPr>
          <w:p>
            <w:r>
              <w:rPr>
                <w:sz w:val="16"/>
              </w:rPr>
              <w:t>Comisión Sexta del Senado · reparto informado en el portal; la etapa de esta ficha puede corresponder a plenaria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b/>
                <w:color w:val="5F6C71"/>
                <w:sz w:val="16"/>
              </w:rPr>
              <w:t>Sesión y actividad</w:t>
            </w:r>
          </w:p>
        </w:tc>
        <w:tc>
          <w:tcPr>
            <w:tcW w:type="dxa" w:w="7920"/>
            <w:vAlign w:val="center"/>
          </w:tcPr>
          <w:p>
            <w:r>
              <w:rPr>
                <w:sz w:val="16"/>
              </w:rPr>
              <w:t>Plenaria del Senado del 27 de octubre de 2026, 15:00 hora de Bogotá. Citada. Discusión y votación previstas.</w:t>
            </w:r>
          </w:p>
        </w:tc>
      </w:tr>
    </w:tbl>
    <w:p>
      <w:pPr>
        <w:pStyle w:val="FichaSeccion"/>
      </w:pPr>
      <w:r>
        <w:t>Breve exposición de motivos</w:t>
      </w:r>
    </w:p>
    <w:p>
      <w:r>
        <w:t>La exposición identifica una brecha entre las competencias de los egresados y las que demanda el mercado laboral, especialmente en tecnología, junto con desempleo juvenil y deserción. Justifica programas cortos, modulares y acumulables como una vía de formación flexible y actualización de capacidades para facilitar la inserción laboral.</w:t>
      </w:r>
    </w:p>
    <w:p>
      <w:pPr>
        <w:pStyle w:val="FichaSeccion"/>
      </w:pPr>
      <w:r>
        <w:t>Objeto del texto radicado</w:t>
      </w:r>
    </w:p>
    <w:p>
      <w:r>
        <w:t>Propone formación modular de 3 a 12 meses en habilidades tecnológicas, articulada con educación media y SENA, para facilitar el empleo. Incluye 100.000 cupos anuales y apoyos de conectividad, Renta Joven y emprendimiento. Es el texto inicial; la ponencia contiene modificaciones posteriores.</w:t>
      </w:r>
    </w:p>
    <w:p>
      <w:pPr>
        <w:pStyle w:val="FichaSeccion"/>
      </w:pPr>
      <w:r>
        <w:t>Análisis del soporte actual</w:t>
      </w:r>
    </w:p>
    <w:p>
      <w:r>
        <w:t>El texto propuesto para segundo debate crea una política pública para regular, promover e implementar formación modular y acumulable de tres a doce meses, orientada a habilidades tecnológicas e inserción laboral. Prevé articulación con educación media, programas de mayor duración y SENA; prioriza software, inteligencia artificial, datos y otras áreas digitales. Contempla cien mil cupos anuales, posibles subsidios de conectividad y Renta Joven sujetos a disponibilidad presupuestal, intermediación laboral y apoyo al emprendimiento.</w:t>
      </w:r>
    </w:p>
    <w:p>
      <w:r>
        <w:t>Distingue reconocimiento de aprendizajes de expedición de títulos: la acumulación de ciclos no otorga por sí sola títulos de otro nivel ni sustituye requisitos académicos y de calidad. Ponente: Julia Correa Nuttin. Número de Cámara no indicado en el orden ni en la ponencia. El orden acredita la previsión de segundo debate, no su aprobación.</w:t>
      </w:r>
    </w:p>
    <w:p>
      <w:pPr>
        <w:pStyle w:val="FichaSeccion"/>
      </w:pPr>
      <w:r>
        <w:t>Ponentes</w:t>
      </w:r>
    </w:p>
    <w:p>
      <w:r>
        <w:t>Julia Correa Nuttin · ponente para segundo debate en Senado.</w:t>
      </w:r>
    </w:p>
    <w:p>
      <w:pPr>
        <w:pStyle w:val="FichaSeccion"/>
      </w:pPr>
      <w:r>
        <w:t>Fuentes y documentos oficiales</w:t>
      </w:r>
    </w:p>
    <w:p>
      <w:pPr>
        <w:spacing w:after="40"/>
      </w:pPr>
      <w:hyperlink r:id="rId9">
        <w:r>
          <w:rPr>
            <w:color w:val="27566B"/>
            <w:u w:val="single"/>
          </w:rPr>
          <w:t>Orden o soporte de sesión</w:t>
        </w:r>
      </w:hyperlink>
    </w:p>
    <w:p>
      <w:pPr>
        <w:spacing w:after="40"/>
      </w:pPr>
      <w:hyperlink r:id="rId10">
        <w:r>
          <w:rPr>
            <w:color w:val="27566B"/>
            <w:u w:val="single"/>
          </w:rPr>
          <w:t>Texto radicado</w:t>
        </w:r>
      </w:hyperlink>
    </w:p>
    <w:p>
      <w:pPr>
        <w:spacing w:after="40"/>
      </w:pPr>
      <w:hyperlink r:id="rId11">
        <w:r>
          <w:rPr>
            <w:color w:val="27566B"/>
            <w:u w:val="single"/>
          </w:rPr>
          <w:t>Ponencia o soporte actual</w:t>
        </w:r>
      </w:hyperlink>
    </w:p>
    <w:p>
      <w:pPr>
        <w:spacing w:after="40"/>
      </w:pPr>
      <w:hyperlink r:id="rId12">
        <w:r>
          <w:rPr>
            <w:color w:val="27566B"/>
            <w:u w:val="single"/>
          </w:rPr>
          <w:t>Fuente de ponentes</w:t>
        </w:r>
      </w:hyperlink>
    </w:p>
    <w:p>
      <w:pPr>
        <w:spacing w:after="40"/>
      </w:pPr>
      <w:hyperlink r:id="rId13">
        <w:r>
          <w:rPr>
            <w:color w:val="27566B"/>
            <w:u w:val="single"/>
          </w:rPr>
          <w:t>Tipo de ley 28/10/2026</w:t>
        </w:r>
      </w:hyperlink>
    </w:p>
    <w:p>
      <w:pPr>
        <w:spacing w:after="40"/>
      </w:pPr>
      <w:hyperlink r:id="rId9">
        <w:r>
          <w:rPr>
            <w:color w:val="27566B"/>
            <w:u w:val="single"/>
          </w:rPr>
          <w:t>Estado actual 25/10/2026</w:t>
        </w:r>
      </w:hyperlink>
    </w:p>
    <w:p>
      <w:pPr>
        <w:spacing w:after="40"/>
      </w:pPr>
      <w:hyperlink r:id="rId13">
        <w:r>
          <w:rPr>
            <w:color w:val="27566B"/>
            <w:u w:val="single"/>
          </w:rPr>
          <w:t>Origen 28/10/2026</w:t>
        </w:r>
      </w:hyperlink>
    </w:p>
    <w:p>
      <w:pPr>
        <w:spacing w:after="40"/>
      </w:pPr>
      <w:hyperlink r:id="rId13">
        <w:r>
          <w:rPr>
            <w:color w:val="27566B"/>
            <w:u w:val="single"/>
          </w:rPr>
          <w:t>Comisión 28/10/2026</w:t>
        </w:r>
      </w:hyperlink>
    </w:p>
    <w:p>
      <w:pPr>
        <w:spacing w:after="40"/>
      </w:pPr>
      <w:hyperlink r:id="rId10">
        <w:r>
          <w:rPr>
            <w:color w:val="27566B"/>
            <w:u w:val="single"/>
          </w:rPr>
          <w:t>Breve exposición de motivos 28/10/2026</w:t>
        </w:r>
      </w:hyperlink>
    </w:p>
    <w:p>
      <w:pPr>
        <w:pStyle w:val="FichaSeccion"/>
      </w:pPr>
      <w:r>
        <w:t>Notas de verificación</w:t>
      </w:r>
    </w:p>
    <w:p>
      <w:r>
        <w:t>Texto radicado, Exposición de motivos, objeto y justificación, p. 5.</w:t>
      </w:r>
    </w:p>
    <w:p>
      <w:r>
        <w:t>Contenido de la sesión verificado el 25 de octubre de 2026. Texto radicado verificado el 20 de octubre de 2026.</w:t>
      </w:r>
    </w:p>
    <w:sectPr w:rsidR="00FC693F" w:rsidRPr="0006063C" w:rsidSect="00034616">
      <w:footerReference w:type="default" r:id="rId14"/>
      <w:pgSz w:w="11952" w:h="16848"/>
      <w:pgMar w:top="778" w:right="965" w:bottom="806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F6C71"/>
        <w:sz w:val="14"/>
      </w:rPr>
      <w:t>Corte documental: 2026-10-28  ·  Una citación o ponencia no acredita aprobación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162F3B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chaTitulo">
    <w:name w:val="FichaTitulo"/>
    <w:pPr>
      <w:spacing w:before="40" w:after="80"/>
    </w:pPr>
    <w:rPr>
      <w:rFonts w:ascii="Aptos" w:hAnsi="Aptos"/>
      <w:b/>
      <w:color w:val="162F3B"/>
      <w:sz w:val="26"/>
    </w:rPr>
  </w:style>
  <w:style w:type="paragraph" w:customStyle="1" w:styleId="FichaSeccion">
    <w:name w:val="FichaSeccion"/>
    <w:pPr>
      <w:spacing w:before="180" w:after="80"/>
    </w:pPr>
    <w:rPr>
      <w:rFonts w:ascii="Aptos" w:hAnsi="Aptos"/>
      <w:b/>
      <w:color w:val="162F3B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vrpubindc.imprenta.gov.co/senado/index2.xhtml?ent=Senado&amp;fec=23-09-2026&amp;num=1378" TargetMode="External"/><Relationship Id="rId10" Type="http://schemas.openxmlformats.org/officeDocument/2006/relationships/hyperlink" Target="https://leyes.senado.gov.co/p-ley/2026-2027/PL%20113-2026%20-%20EMPLEABILIDAD.pdf" TargetMode="External"/><Relationship Id="rId11" Type="http://schemas.openxmlformats.org/officeDocument/2006/relationships/hyperlink" Target="https://svrpubindc.imprenta.gov.co/senado/index2.xhtml?ent=Senado&amp;fec=24-09-2026&amp;num=1382" TargetMode="External"/><Relationship Id="rId12" Type="http://schemas.openxmlformats.org/officeDocument/2006/relationships/hyperlink" Target="https://www.secretariasenado.gov.co/orden-del-dia-senado/18452-orden-del-dia-20-de-octubre-2026-261019-230121/file" TargetMode="External"/><Relationship Id="rId13" Type="http://schemas.openxmlformats.org/officeDocument/2006/relationships/hyperlink" Target="https://leyes.senado.gov.co/api/get_detalle_pdly.php?id=10036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