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PL 124 de 2025 Senado</w:t>
      </w:r>
    </w:p>
    <w:p>
      <w:pPr/>
      <w:r>
        <w:rPr>
          <w:b/>
          <w:sz w:val="20"/>
        </w:rPr>
        <w:t>El turbante y sus saberes asociados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Ordinaria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Segundo debate en plenaria del Senado.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Senado de la República · iniciativa congresional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Comisión Sexta del Senado · reparto informado en el portal; la etapa de esta ficha puede corresponder a plenaria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Plenaria del Senado del 27 de octubre de 2026, 15:00 hora de Bogotá. Citada. Discusión y votación previstas.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La exposición presenta el turbante como expresión de identidad, resistencia y saberes transmitidos entre generaciones, y como medio de organización y emprendimiento de mujeres afrocolombianas. Justifica su salvaguardia como reconocimiento cultural y reparación simbólica frente a formas de discriminación y exclusión.</w:t>
      </w:r>
    </w:p>
    <w:p>
      <w:pPr>
        <w:pStyle w:val="FichaSeccion"/>
      </w:pPr>
      <w:r>
        <w:t>Objeto del texto radicado</w:t>
      </w:r>
    </w:p>
    <w:p>
      <w:r>
        <w:t>Declara el turbante y sus saberes como patrimonio cultural inmaterial; propone una red nacional de mujeres sabedoras, formación, emprendimiento, pedagogía y educación intercultural. Es el texto inicial; la ponencia posterior exige el trámite administrativo patrimonial.</w:t>
      </w:r>
    </w:p>
    <w:p>
      <w:pPr>
        <w:pStyle w:val="FichaSeccion"/>
      </w:pPr>
      <w:r>
        <w:t>Análisis del soporte actual</w:t>
      </w:r>
    </w:p>
    <w:p>
      <w:r>
        <w:t>La ponencia 1412/2026 reconoce el turbante y sus manifestaciones afrodescendientes y crea una red nacional de mujeres sabedoras, emprendedoras y empresarias, con formación, transmisión y educación intercultural. La inclusión en la lista de patrimonio debe surtir el procedimiento de la Ley 397 de 1997; no se presenta como inscripción automática. El texto inicial usa una declaratoria directa; se distinguen los dos documentos.</w:t>
      </w:r>
    </w:p>
    <w:p>
      <w:pPr>
        <w:pStyle w:val="FichaSeccion"/>
      </w:pPr>
      <w:r>
        <w:t>Ponentes</w:t>
      </w:r>
    </w:p>
    <w:p>
      <w:r>
        <w:t>Ana Paola García Soto · coordinadora ponente para segundo debate.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Fuente de ponentes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Tipo de ley 28/10/2026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Estado actual 25/10/2026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Origen 28/10/2026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Comisión 28/10/2026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Breve exposición de motivos 28/10/2026</w:t>
        </w:r>
      </w:hyperlink>
    </w:p>
    <w:p>
      <w:pPr>
        <w:pStyle w:val="FichaSeccion"/>
      </w:pPr>
      <w:r>
        <w:t>Notas de verificación</w:t>
      </w:r>
    </w:p>
    <w:p>
      <w:r>
        <w:t>Texto radicado, justificación y argumentos de la exposición, p. 7 del PDF.</w:t>
      </w:r>
    </w:p>
    <w:p>
      <w:r>
        <w:t>Contenido de la sesión verificado el 25 de octubre de 2026. Texto radicado verificado el 25 de octubre de 2026.</w:t>
      </w:r>
    </w:p>
    <w:sectPr w:rsidR="00FC693F" w:rsidRPr="0006063C" w:rsidSect="00034616">
      <w:footerReference w:type="default" r:id="rId13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vrpubindc.imprenta.gov.co/senado/index2.xhtml?ent=Senado&amp;fec=23-09-2026&amp;num=1378" TargetMode="External"/><Relationship Id="rId10" Type="http://schemas.openxmlformats.org/officeDocument/2006/relationships/hyperlink" Target="https://leyes.senado.gov.co/p-ley/2025-2026/PL%20124-25%20-%20TURBANTE.pdf" TargetMode="External"/><Relationship Id="rId11" Type="http://schemas.openxmlformats.org/officeDocument/2006/relationships/hyperlink" Target="https://svrpubindc.imprenta.gov.co/senado/index2.xhtml?ent=Senado&amp;fec=28-09-2026&amp;num=1412" TargetMode="External"/><Relationship Id="rId12" Type="http://schemas.openxmlformats.org/officeDocument/2006/relationships/hyperlink" Target="https://leyes.senado.gov.co/api/get_detalle_pdly.php?id=9663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