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197 de 2025 Senado</w:t>
      </w:r>
    </w:p>
    <w:p>
      <w:pPr/>
      <w:r>
        <w:rPr>
          <w:b/>
          <w:sz w:val="20"/>
        </w:rPr>
        <w:t>Patía · saberes ancestrales afrocolombianos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Segunda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La exposición presenta al Patía como un territorio cuya memoria, prácticas comunitarias y saberes afrocolombianos han resistido la violencia y la exclusión. Justifica el reconocimiento cultural como instrumento de reconciliación, inclusión y desarrollo territorial con participación de las comunidades, además de su dimensión conmemorativa.</w:t>
      </w:r>
    </w:p>
    <w:p>
      <w:pPr>
        <w:pStyle w:val="FichaSeccion"/>
      </w:pPr>
      <w:r>
        <w:t>Objeto del texto radicado</w:t>
      </w:r>
    </w:p>
    <w:p>
      <w:r>
        <w:t>Homenaje a Patía y a sus saberes afrocolombianos. Prevé trámite de patrimonio inmaterial, documental, parque de herencia afrocolombiana y maloca, festivales, mediateca, formación y protección de cuencas; financiación sujeta al marco presupuestal.</w:t>
      </w:r>
    </w:p>
    <w:p>
      <w:pPr>
        <w:pStyle w:val="FichaSeccion"/>
      </w:pPr>
      <w:r>
        <w:t>Análisis del soporte actual</w:t>
      </w:r>
    </w:p>
    <w:p>
      <w:r>
        <w:t>La ponencia 1324/2026 rinde homenaje a Patía como territorio de resistencia afrocolombiana, paz y cultura viva. Propone salvaguardia de saberes, trámite patrimonial, documental, parque y maloca, formación artística, festivales y protección de cuencas. Las autorizaciones de gasto dependen de reglas y disponibilidades presupuestales; no acreditan obras financiadas. Incluye reporte anual al Congreso sobre implementación.</w:t>
      </w:r>
    </w:p>
    <w:p>
      <w:pPr>
        <w:pStyle w:val="FichaSeccion"/>
      </w:pPr>
      <w:r>
        <w:t>Ponentes</w:t>
      </w:r>
    </w:p>
    <w:p>
      <w:r>
        <w:t>Jesús Omero Cuasapud Chaspuengal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radicado, Exposición de motivos, introducción, p. 9.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leyes.senado.gov.co/p-ley/2025-2026/PL%20197-2025%20-%20PATIA.pdf" TargetMode="External"/><Relationship Id="rId11" Type="http://schemas.openxmlformats.org/officeDocument/2006/relationships/hyperlink" Target="https://svrpubindc.imprenta.gov.co/senado/index2.xhtml?ent=Senado&amp;fec=17-09-2026&amp;num=1324" TargetMode="External"/><Relationship Id="rId12" Type="http://schemas.openxmlformats.org/officeDocument/2006/relationships/hyperlink" Target="https://leyes.senado.gov.co/api/get_detalle_pdly.php?id=9736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