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5F6C71"/>
          <w:sz w:val="14"/>
        </w:rPr>
        <w:t>OBSERVATORIO LEGISLATIVO  /  DESPACHO DEL H.S. CARLOS EDUARDO ENRÍQUEZ CAICEDO</w:t>
      </w:r>
    </w:p>
    <w:p>
      <w:pPr>
        <w:pStyle w:val="FichaTitulo"/>
      </w:pPr>
      <w:r>
        <w:t>PL 206 de 2025 Senado</w:t>
      </w:r>
    </w:p>
    <w:p>
      <w:pPr/>
      <w:r>
        <w:rPr>
          <w:b/>
          <w:sz w:val="20"/>
        </w:rPr>
        <w:t>Mejoramiento integral de asentamientos y prevención del loteo ilegal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7920"/>
      </w:tblGrid>
      <w:tr>
        <w:tc>
          <w:tcPr>
            <w:tcW w:type="dxa" w:w="1757"/>
            <w:vAlign w:val="center"/>
          </w:tcPr>
          <w:p>
            <w:r>
              <w:rPr>
                <w:b/>
                <w:color w:val="5F6C71"/>
                <w:sz w:val="16"/>
              </w:rPr>
              <w:t>Tipo de ley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Ordinaria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b/>
                <w:color w:val="5F6C71"/>
                <w:sz w:val="16"/>
              </w:rPr>
              <w:t>Estado documentado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Último estado documentado: Segundo debate en plenaria del Senado. No se presume un resultado posterior al soporte consultado.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b/>
                <w:color w:val="5F6C71"/>
                <w:sz w:val="16"/>
              </w:rPr>
              <w:t>Origen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Senado de la República · iniciativa congresional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b/>
                <w:color w:val="5F6C71"/>
                <w:sz w:val="16"/>
              </w:rPr>
              <w:t>Comisión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Comisión Tercera del Senado · reparto informado en el portal; la etapa de esta ficha puede corresponder a plenaria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b/>
                <w:color w:val="5F6C71"/>
                <w:sz w:val="16"/>
              </w:rPr>
              <w:t>Sesión y actividad</w:t>
            </w:r>
          </w:p>
        </w:tc>
        <w:tc>
          <w:tcPr>
            <w:tcW w:type="dxa" w:w="7920"/>
            <w:vAlign w:val="center"/>
          </w:tcPr>
          <w:p>
            <w:r>
              <w:rPr>
                <w:sz w:val="16"/>
              </w:rPr>
              <w:t>Plenaria del Senado del 27 de octubre de 2026, 15:00 hora de Bogotá. Citada. Discusión y votación previstas.</w:t>
            </w:r>
          </w:p>
        </w:tc>
      </w:tr>
    </w:tbl>
    <w:p>
      <w:pPr>
        <w:pStyle w:val="FichaSeccion"/>
      </w:pPr>
      <w:r>
        <w:t>Breve exposición de motivos</w:t>
      </w:r>
    </w:p>
    <w:p>
      <w:r>
        <w:t>Los autores relacionan la expansión de asentamientos informales con el crecimiento desordenado de las periferias y con dificultades para actualizar los planes de ordenamiento territorial, incluidos los costos de estudios de riesgo. Justifican instrumentos de legalización y mejoramiento del hábitat para facilitar acceso a vivienda y servicios y atender esas barreras; son razones expuestas por la iniciativa.</w:t>
      </w:r>
    </w:p>
    <w:p>
      <w:pPr>
        <w:pStyle w:val="FichaSeccion"/>
      </w:pPr>
      <w:r>
        <w:t>Objeto del texto radicado</w:t>
      </w:r>
    </w:p>
    <w:p>
      <w:r>
        <w:t>Gaceta 1677 del 11/09/2025, pp. 10–25: PL 206/2025 Senado. Regula mejoramiento y legalización de asentamientos rurales y de expansión, ajuste del POT, gestión de hábitat, vivienda cooperativa, financiación y control de especulación y loteo ilegal; exige condiciones de riesgo y ambiente.</w:t>
      </w:r>
    </w:p>
    <w:p>
      <w:pPr>
        <w:pStyle w:val="FichaSeccion"/>
      </w:pPr>
      <w:r>
        <w:t>Análisis del soporte actual</w:t>
      </w:r>
    </w:p>
    <w:p>
      <w:r>
        <w:t>La ponencia 1176/2026 regula legalización y mejoramiento de asentamientos en suelo urbano, rural y de expansión, gestión de hábitat, ajuste excepcional del POT, vivienda cooperativa y financiación. Modifica mecanismos ambientales y de ordenamiento y fortalece control del loteo ilegal y la especulación. Contiene condiciones sociales, de servicios, riesgo y protección ambiental; no legaliza automáticamente cualquier asentamiento. El original del portal conserva encabezados de 2024; se contrastó la edición original 1677/2025, que identifica PL 206/2025.</w:t>
      </w:r>
    </w:p>
    <w:p>
      <w:pPr>
        <w:pStyle w:val="FichaSeccion"/>
      </w:pPr>
      <w:r>
        <w:t>Ponentes</w:t>
      </w:r>
    </w:p>
    <w:p>
      <w:r>
        <w:t>Martín Alonso Caicedo Carabalí · segundo debate en Senado.</w:t>
      </w:r>
    </w:p>
    <w:p>
      <w:pPr>
        <w:pStyle w:val="FichaSeccion"/>
      </w:pPr>
      <w:r>
        <w:t>Fuentes y documentos oficiales</w:t>
      </w:r>
    </w:p>
    <w:p>
      <w:pPr>
        <w:spacing w:after="40"/>
      </w:pPr>
      <w:hyperlink r:id="rId9">
        <w:r>
          <w:rPr>
            <w:color w:val="27566B"/>
            <w:u w:val="single"/>
          </w:rPr>
          <w:t>Orden o soporte de sesión</w:t>
        </w:r>
      </w:hyperlink>
    </w:p>
    <w:p>
      <w:pPr>
        <w:spacing w:after="40"/>
      </w:pPr>
      <w:hyperlink r:id="rId10">
        <w:r>
          <w:rPr>
            <w:color w:val="27566B"/>
            <w:u w:val="single"/>
          </w:rPr>
          <w:t>Texto radicado</w:t>
        </w:r>
      </w:hyperlink>
    </w:p>
    <w:p>
      <w:pPr>
        <w:spacing w:after="40"/>
      </w:pPr>
      <w:hyperlink r:id="rId11">
        <w:r>
          <w:rPr>
            <w:color w:val="27566B"/>
            <w:u w:val="single"/>
          </w:rPr>
          <w:t>Ponencia o soporte actual</w:t>
        </w:r>
      </w:hyperlink>
    </w:p>
    <w:p>
      <w:pPr>
        <w:spacing w:after="40"/>
      </w:pPr>
      <w:hyperlink r:id="rId11">
        <w:r>
          <w:rPr>
            <w:color w:val="27566B"/>
            <w:u w:val="single"/>
          </w:rPr>
          <w:t>Fuente de ponentes</w:t>
        </w:r>
      </w:hyperlink>
    </w:p>
    <w:p>
      <w:pPr>
        <w:spacing w:after="40"/>
      </w:pPr>
      <w:hyperlink r:id="rId12">
        <w:r>
          <w:rPr>
            <w:color w:val="27566B"/>
            <w:u w:val="single"/>
          </w:rPr>
          <w:t>Tipo de ley 28/10/2026</w:t>
        </w:r>
      </w:hyperlink>
    </w:p>
    <w:p>
      <w:pPr>
        <w:spacing w:after="40"/>
      </w:pPr>
      <w:hyperlink r:id="rId9">
        <w:r>
          <w:rPr>
            <w:color w:val="27566B"/>
            <w:u w:val="single"/>
          </w:rPr>
          <w:t>Estado actual 25/10/2026</w:t>
        </w:r>
      </w:hyperlink>
    </w:p>
    <w:p>
      <w:pPr>
        <w:spacing w:after="40"/>
      </w:pPr>
      <w:hyperlink r:id="rId12">
        <w:r>
          <w:rPr>
            <w:color w:val="27566B"/>
            <w:u w:val="single"/>
          </w:rPr>
          <w:t>Origen 28/10/2026</w:t>
        </w:r>
      </w:hyperlink>
    </w:p>
    <w:p>
      <w:pPr>
        <w:spacing w:after="40"/>
      </w:pPr>
      <w:hyperlink r:id="rId12">
        <w:r>
          <w:rPr>
            <w:color w:val="27566B"/>
            <w:u w:val="single"/>
          </w:rPr>
          <w:t>Comisión 28/10/2026</w:t>
        </w:r>
      </w:hyperlink>
    </w:p>
    <w:p>
      <w:pPr>
        <w:spacing w:after="40"/>
      </w:pPr>
      <w:hyperlink r:id="rId10">
        <w:r>
          <w:rPr>
            <w:color w:val="27566B"/>
            <w:u w:val="single"/>
          </w:rPr>
          <w:t>Breve exposición de motivos 28/10/2026</w:t>
        </w:r>
      </w:hyperlink>
    </w:p>
    <w:p>
      <w:pPr>
        <w:pStyle w:val="FichaSeccion"/>
      </w:pPr>
      <w:r>
        <w:t>Notas de verificación</w:t>
      </w:r>
    </w:p>
    <w:p>
      <w:r>
        <w:t>Texto radicado publicado en Gaceta 1677 del 11/09/2025, Exposición de motivos, objeto y justificación, p. 15.</w:t>
      </w:r>
    </w:p>
    <w:p>
      <w:r>
        <w:t>Contenido de la sesión verificado el 25 de octubre de 2026. Texto radicado verificado el 25 de octubre de 2026.</w:t>
      </w:r>
    </w:p>
    <w:sectPr w:rsidR="00FC693F" w:rsidRPr="0006063C" w:rsidSect="00034616">
      <w:footerReference w:type="default" r:id="rId13"/>
      <w:pgSz w:w="11952" w:h="16848"/>
      <w:pgMar w:top="778" w:right="965" w:bottom="806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F6C71"/>
        <w:sz w:val="14"/>
      </w:rPr>
      <w:t>Corte documental: 2026-10-28  ·  Una citación o ponencia no acredita aprobación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162F3B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chaTitulo">
    <w:name w:val="FichaTitulo"/>
    <w:pPr>
      <w:spacing w:before="40" w:after="80"/>
    </w:pPr>
    <w:rPr>
      <w:rFonts w:ascii="Aptos" w:hAnsi="Aptos"/>
      <w:b/>
      <w:color w:val="162F3B"/>
      <w:sz w:val="26"/>
    </w:rPr>
  </w:style>
  <w:style w:type="paragraph" w:customStyle="1" w:styleId="FichaSeccion">
    <w:name w:val="FichaSeccion"/>
    <w:pPr>
      <w:spacing w:before="180" w:after="80"/>
    </w:pPr>
    <w:rPr>
      <w:rFonts w:ascii="Aptos" w:hAnsi="Aptos"/>
      <w:b/>
      <w:color w:val="162F3B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vrpubindc.imprenta.gov.co/senado/index2.xhtml?ent=Senado&amp;fec=23-09-2026&amp;num=1378" TargetMode="External"/><Relationship Id="rId10" Type="http://schemas.openxmlformats.org/officeDocument/2006/relationships/hyperlink" Target="https://svrpubindc.imprenta.gov.co/senado/index2.xhtml?ent=Senado&amp;fec=11-09-2025&amp;num=1677" TargetMode="External"/><Relationship Id="rId11" Type="http://schemas.openxmlformats.org/officeDocument/2006/relationships/hyperlink" Target="https://svrpubindc.imprenta.gov.co/senado/index2.xhtml?ent=Senado&amp;fec=02-09-2026&amp;num=1176" TargetMode="External"/><Relationship Id="rId12" Type="http://schemas.openxmlformats.org/officeDocument/2006/relationships/hyperlink" Target="https://leyes.senado.gov.co/api/get_detalle_pdly.php?id=9746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