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422 de 2026 Cámara / 290 de 2026 Senado</w:t>
      </w:r>
    </w:p>
    <w:p>
      <w:pPr/>
      <w:r>
        <w:rPr>
          <w:b/>
          <w:sz w:val="20"/>
        </w:rPr>
        <w:t>Presupuesto del Sistema General de Regalías para el bienio 2027–2028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Presentación celebrada ante las comisiones económicas conjuntas, en etapa de primer debate; sin aprobación verificada.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Cámara de Representantes · iniciativa gubernamental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Terceras y Cuartas de Senado y Cámara en sesiones económicas conjuntas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Comisiones económicas conjuntas del 27 de octubre de 2026, 10:00 hora de Bogotá. Realizada. Salón Elíptico del Capitolio Nacional. Solo presentación.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El Gobierno presenta el presupuesto bienal para programar los ingresos y la inversión territorial del Sistema General de Regalías, conforme a los artículos 360 y 361 constitucionales y la Ley 2056 de 2020. Su exposición señala menor recaudo y restricciones fiscales como contexto de la programación 2027–2028; esas valoraciones se atribuyen al documento gubernamental.</w:t>
      </w:r>
    </w:p>
    <w:p>
      <w:pPr>
        <w:pStyle w:val="FichaSeccion"/>
      </w:pPr>
      <w:r>
        <w:t>Objeto del texto radicado</w:t>
      </w:r>
    </w:p>
    <w:p>
      <w:r>
        <w:t>Fija el presupuesto del SGR para 2027–2028: $21.425.657.521.636 de recursos corrientes y gastos, más incorporaciones de $6.094.430.190.344 de rendimientos y $17.470.435.804 por minerales sin origen identificado (arts. 1–7). Distribuye inversión territorial, paz, ahorro y administración; regula ejecución y priorización PDET para territorios afectados por el sismo del 10/08/2026 (art. 18). Se resume el texto radicado, no un presupuesto aprobado.</w:t>
      </w:r>
    </w:p>
    <w:p>
      <w:pPr>
        <w:pStyle w:val="FichaSeccion"/>
      </w:pPr>
      <w:r>
        <w:t>Análisis del soporte actual</w:t>
      </w:r>
    </w:p>
    <w:p>
      <w:r>
        <w:t>Prensa Cámara del 27/10 confirma que Hacienda presentó esta iniciativa; no acredita votación ni aprobación. Se mantiene la acción presentación.</w:t>
      </w:r>
    </w:p>
    <w:p>
      <w:r>
        <w:t>El texto radicado fija el presupuesto bienal de regalías para el 01/01/2027–31/12/2028. Los artículos 1–2 establecen $21.425.657.521.636 de recursos corrientes e iguales gastos; el artículo 6 incorpora $6.094.430.190.344 de rendimientos y el 7, $17.470.435.804 de regalías por minerales sin origen identificado. La suma de esos componentes es $27.537.558.147.784, cálculo del texto propuesto y no monto aprobado. Distribuye administración y seguimiento, inversión territorial, paz, ciencia y tecnología, ambiente, ahorro y obligaciones pensionales, con anexos territoriales.</w:t>
      </w:r>
    </w:p>
    <w:p>
      <w:r>
        <w:t>Regula incorporaciones, reintegros, traslados, correcciones y ejecución; el artículo 12 limita aprobaciones en 2027 al 60 % de las apropiaciones de ingresos corrientes en los términos propuestos. El artículo 18 contempla criterios diferenciadores de priorización PDET para atención, recuperación, rehabilitación y reconstrucción de territorios afectados por el sismo del 10/08/2026. La actividad del 27/10 es presentación ante las comisiones económicas conjuntas, en etapa de primer debate, sin discusión ni votación programadas. El apartado genérico de anuncios no permite atribuirle una fecha de votación posterior.</w:t>
      </w:r>
    </w:p>
    <w:p>
      <w:r>
        <w:t>El expediente de Cámara indica radicación el 01/10/2026 y Trámite en Comisión; el número de Senado consta en el orden y los oficios de designación.</w:t>
      </w:r>
    </w:p>
    <w:p>
      <w:r>
        <w:t>El 27/10/2026 el expediente publica tres proposiciones de Yamit Noé Hurtado al texto propuesto para primer debate: informes cuatrimestrales de ejecución y avance de proyectos por Hacienda, Minas y DNP, e informes trimestrales del SSEC; priorización de inversión en gestión del riesgo, recuperación de los territorios del sismo y prevención de El Niño/La Niña, articulada con el Fondo Milagro y sin doble financiación; y precisión del artículo 14 para que los traslados respeten asignación de origen, homologación y derechos de beneficiarios. Publicación de seis páginas leída íntegramente; no se verificó adopción ni decisión de las comisiones.</w:t>
      </w:r>
    </w:p>
    <w:p>
      <w:r>
        <w:t>Fuente: https://www.camara.gov.co/wp-content/uploads/2026/10/Regalias-Bienio-2027-2028/Comision-Cuarta-Constitucional-Permanente/Proposiciones-SA.-HR-Yamit-Noe-Hurtado_0001.pdf</w:t>
        <w:br/>
        <w:t>Modificaciones reales de ponencia del PL 422/2026 Cámara–290/2026 Senado, verificadas el 27/10: oficio CCU-CS 298-2026 de Cuarta Senado, fechado 27/10/2026, designa a Kamelia Edith Zuluaga Navarro en reemplazo de Laura Cristina Ahumada García, quien solicitó desistimiento.</w:t>
      </w:r>
    </w:p>
    <w:p>
      <w:r>
        <w:t>Oficio C.T.C.P.3.3.462-26C de Tercera Cámara, fechado 21/10/2026 y recibido ese día en Cuarta Cámara, deja sin efecto la designación de Héctor David Chaparro Chaparro, a quien llama ponente, y designa coordinadora a Yolanda Wong Baldiris. El oficio inicial del 16/10 listaba a Chaparro como coordinador; se conserva esta discrepancia de rol, sin presentar la nueva comunicación como modificación de las demás designaciones. Son cambios documentales de primer debate; no acreditan citación a discusión/votación ni aprobación.</w:t>
      </w:r>
    </w:p>
    <w:p>
      <w:r>
        <w:t>Fuentes: https://www.camara.gov.co/wp-content/uploads/2026/10/Regalias-Bienio-2027-2028/Comision-Cuarta-Constitucional-Permanente/Modificacion-Designacion-Ponente-Comision-4ta-Senado.pdf ; https://www.camara.gov.co/wp-content/uploads/2026/10/Regalias-Bienio-2027-2028/Comision-Cuarta-Constitucional-Permanente/Modificacion-Designacion-Ponente-Com-3ra-Camara.pdf</w:t>
      </w:r>
    </w:p>
    <w:p>
      <w:pPr>
        <w:pStyle w:val="FichaSeccion"/>
      </w:pPr>
      <w:r>
        <w:t>Ponentes</w:t>
      </w:r>
    </w:p>
    <w:p>
      <w:r>
        <w:t>Primer debate. Cuarta Senado: coordinadores Diela Liliana Benavides Solarte y Álvaro Henry Monedero Rivera. Ponentes Kamelia Edith Zuluaga Navarro (oficio CCU-CS 298-2026 del 27/10, reemplaza a Laura Cristina Ahumada García por desistimiento); John Alejandro Bermeo Rodríguez; Wilmer Ramiro Carrillo Mendoza; Carlos Mario Farelo Daza; Wilder Ibersdon Escobar Ortiz (literal del oficio; el expediente dice Wilder Iberson), y Carlos Eduardo Enríquez Caicedo. Oficio CCU-CS-270-2026 del 19/10, pp. 1–2 del soporte. Farelo aparece duplicado en el documento, sin tratarlo como dos personas.</w:t>
      </w:r>
    </w:p>
    <w:p>
      <w:r>
        <w:t>Tercera Senado: Gustavo Adolfo Moreno Hurtado; Deisy Johanna Osorio Márquez, y Eduardo Miguel Espitia Cabrales, según oficio del 14/10; el expediente registra Deisy Johana y Edgardo Miguel, variantes nominales pendientes de aclaración. Cuarta Cámara: coordinadores David Pinilla Calero; Guillermo Ignacio Alvira Acosta; Juan David Zuluaga Zuluaga. Ponentes Franyela Bermúdez (el expediente completa Serna); Jhon Fredi Valencia Caicedo; Rosita Rosaurina Guevara Rosero; Welfran Junior Mendoza Torres, nota CCCP3.4-0437-26 del 20/10.</w:t>
      </w:r>
    </w:p>
    <w:p>
      <w:r>
        <w:t>Tercera Cámara: designación inicial (16/10): coordinadores José Ricardo Ardila Pinedo, Juan Loreto Gómez Soto, Jorge Rodrigo Tovar Vélez y Héctor David Chaparro Chaparro. Oficio C.T.C.P.3.3.462-26C del 21/10 deja sin efecto la designación de Chaparro (lo llama ponente) y designa coordinadora a Yolanda Wong Baldiris. Ponentes Milene Jarava Díaz; Francy Natalia Moreno Puin; José Luis Abdala Olivera (literal del oficio; el expediente dice Abdalla); Yamit Noé Hurtado Neira, oficio C.T.C.P.3.3.442-26C del 16/10.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Estado actual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Exposición de motivos del texto radicado, introducción, pp. 2–3.</w:t>
      </w:r>
    </w:p>
    <w:p>
      <w:r>
        <w:t>Contenido de la sesión verificado el 28 de octubre de 2026. Texto radicado verificado el 22 de octubre de 2026.</w:t>
      </w:r>
    </w:p>
    <w:sectPr w:rsidR="00FC693F" w:rsidRPr="0006063C" w:rsidSect="00034616">
      <w:footerReference w:type="default" r:id="rId14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mara.gov.co/wp-content/uploads/2026/10/ORDEN-DEL-DIA-MARTES-27-DE-OCTUBRE-D-E-2026-Modificado.pdf" TargetMode="External"/><Relationship Id="rId10" Type="http://schemas.openxmlformats.org/officeDocument/2006/relationships/hyperlink" Target="https://www.camara.gov.co/wp-content/uploads/2026/10/proyectos-ley/documentos/proyecto-36474/PL-Presupuesto-SGR-2027-2028.pdf" TargetMode="External"/><Relationship Id="rId11" Type="http://schemas.openxmlformats.org/officeDocument/2006/relationships/hyperlink" Target="https://www.camara.gov.co/comision-cuarta-o-presupuesto/regalias-bienio-2027-2028/" TargetMode="External"/><Relationship Id="rId12" Type="http://schemas.openxmlformats.org/officeDocument/2006/relationships/hyperlink" Target="https://leyes.senado.gov.co/api/get_detalle_pdly.php?id=10214" TargetMode="External"/><Relationship Id="rId13" Type="http://schemas.openxmlformats.org/officeDocument/2006/relationships/hyperlink" Target="https://www.camara.gov.co/comisiones-economicas-avanzan-en-estudio-de-leyes-de-adicion-y-presupuesto-de-regalia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