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Documento de requisitos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-419094</wp:posOffset>
            </wp:positionH>
            <wp:positionV relativeFrom="paragraph">
              <wp:posOffset>828675</wp:posOffset>
            </wp:positionV>
            <wp:extent cx="6701294" cy="41576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55"/>
        <w:gridCol w:w="2535"/>
        <w:gridCol w:w="3495"/>
        <w:tblGridChange w:id="0">
          <w:tblGrid>
            <w:gridCol w:w="1110"/>
            <w:gridCol w:w="1155"/>
            <w:gridCol w:w="2535"/>
            <w:gridCol w:w="349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Realizada por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Francisco Javier Vázquez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del documento, corrección de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E">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r w:rsidDel="00000000" w:rsidR="00000000" w:rsidRPr="00000000">
            <w:rPr>
              <w:b w:val="1"/>
              <w:sz w:val="22"/>
              <w:szCs w:val="22"/>
              <w:rtl w:val="0"/>
            </w:rPr>
            <w:t xml:space="preserve">Tabla de requisitos</w:t>
          </w:r>
          <w:r w:rsidDel="00000000" w:rsidR="00000000" w:rsidRPr="00000000">
            <w:fldChar w:fldCharType="end"/>
          </w:r>
        </w:p>
      </w:sdtContent>
    </w:sdt>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ind w:left="0" w:firstLine="0"/>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bookmarkStart w:colFirst="0" w:colLast="0" w:name="_heading=h.gydz53m1fjts" w:id="12"/>
      <w:bookmarkEnd w:id="12"/>
      <w:r w:rsidDel="00000000" w:rsidR="00000000" w:rsidRPr="00000000">
        <w:rPr>
          <w:rtl w:val="0"/>
        </w:rPr>
      </w:r>
    </w:p>
    <w:p w:rsidR="00000000" w:rsidDel="00000000" w:rsidP="00000000" w:rsidRDefault="00000000" w:rsidRPr="00000000" w14:paraId="0000004F">
      <w:pPr>
        <w:pStyle w:val="Heading1"/>
        <w:numPr>
          <w:ilvl w:val="0"/>
          <w:numId w:val="1"/>
        </w:numPr>
        <w:ind w:left="720" w:hanging="360"/>
        <w:rPr>
          <w:b w:val="1"/>
          <w:color w:val="cc0000"/>
          <w:sz w:val="40"/>
          <w:szCs w:val="40"/>
        </w:rPr>
      </w:pPr>
      <w:bookmarkStart w:colFirst="0" w:colLast="0" w:name="_heading=h.ktpxaboxybxf" w:id="13"/>
      <w:bookmarkEnd w:id="13"/>
      <w:r w:rsidDel="00000000" w:rsidR="00000000" w:rsidRPr="00000000">
        <w:rPr>
          <w:rtl w:val="0"/>
        </w:rPr>
        <w:t xml:space="preserve">Tabla de requisitos</w:t>
      </w:r>
    </w:p>
    <w:tbl>
      <w:tblPr>
        <w:tblStyle w:val="Table2"/>
        <w:tblW w:w="1323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965"/>
        <w:gridCol w:w="2205"/>
        <w:gridCol w:w="2130"/>
        <w:gridCol w:w="2674"/>
        <w:tblGridChange w:id="0">
          <w:tblGrid>
            <w:gridCol w:w="1260"/>
            <w:gridCol w:w="4965"/>
            <w:gridCol w:w="2205"/>
            <w:gridCol w:w="2130"/>
            <w:gridCol w:w="2674"/>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Título/Descripción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Prioridad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Fuente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left"/>
              <w:rPr/>
            </w:pPr>
            <w:r w:rsidDel="00000000" w:rsidR="00000000" w:rsidRPr="00000000">
              <w:rPr>
                <w:rtl w:val="0"/>
              </w:rPr>
              <w:t xml:space="preserve">AC-0001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left"/>
              <w:rPr/>
            </w:pPr>
            <w:r w:rsidDel="00000000" w:rsidR="00000000" w:rsidRPr="00000000">
              <w:rPr>
                <w:rtl w:val="0"/>
              </w:rPr>
              <w:t xml:space="preserve">La cesta de la compra siempre estará </w:t>
            </w:r>
          </w:p>
          <w:p w:rsidR="00000000" w:rsidDel="00000000" w:rsidP="00000000" w:rsidRDefault="00000000" w:rsidRPr="00000000" w14:paraId="00000057">
            <w:pPr>
              <w:ind w:left="0" w:firstLine="0"/>
              <w:jc w:val="left"/>
              <w:rPr/>
            </w:pPr>
            <w:r w:rsidDel="00000000" w:rsidR="00000000" w:rsidRPr="00000000">
              <w:rPr>
                <w:rtl w:val="0"/>
              </w:rPr>
              <w:t xml:space="preserve">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left"/>
              <w:rPr/>
            </w:pPr>
            <w:r w:rsidDel="00000000" w:rsidR="00000000" w:rsidRPr="00000000">
              <w:rPr>
                <w:rtl w:val="0"/>
              </w:rPr>
              <w:t xml:space="preserve">AC-0002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ind w:left="0" w:firstLine="0"/>
              <w:jc w:val="left"/>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AC-0003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ind w:left="0" w:firstLine="0"/>
              <w:jc w:val="left"/>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left"/>
              <w:rPr/>
            </w:pPr>
            <w:r w:rsidDel="00000000" w:rsidR="00000000" w:rsidRPr="00000000">
              <w:rPr>
                <w:rtl w:val="0"/>
              </w:rPr>
              <w:t xml:space="preserve">AC-0004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ind w:left="0" w:firstLine="0"/>
              <w:jc w:val="left"/>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left"/>
              <w:rPr/>
            </w:pPr>
            <w:r w:rsidDel="00000000" w:rsidR="00000000" w:rsidRPr="00000000">
              <w:rPr>
                <w:rtl w:val="0"/>
              </w:rPr>
              <w:t xml:space="preserve">AC-0005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ind w:left="0" w:firstLine="0"/>
              <w:jc w:val="left"/>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left"/>
              <w:rPr/>
            </w:pPr>
            <w:r w:rsidDel="00000000" w:rsidR="00000000" w:rsidRPr="00000000">
              <w:rPr>
                <w:rtl w:val="0"/>
              </w:rPr>
              <w:t xml:space="preserve">AC-0006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left"/>
              <w:rPr/>
            </w:pPr>
            <w:r w:rsidDel="00000000" w:rsidR="00000000" w:rsidRPr="00000000">
              <w:rPr>
                <w:rtl w:val="0"/>
              </w:rPr>
              <w:t xml:space="preserve">Cada ítem vendido en la tienda dispondrá de sólo una imagen.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AC-0007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ind w:left="0" w:firstLine="0"/>
              <w:jc w:val="left"/>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left"/>
              <w:rPr/>
            </w:pPr>
            <w:r w:rsidDel="00000000" w:rsidR="00000000" w:rsidRPr="00000000">
              <w:rPr>
                <w:rtl w:val="0"/>
              </w:rPr>
              <w:t xml:space="preserve">AC-0008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left"/>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AC-0009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left"/>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t xml:space="preserve">AC-0010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ind w:left="0" w:firstLine="0"/>
              <w:jc w:val="left"/>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left"/>
              <w:rPr/>
            </w:pPr>
            <w:r w:rsidDel="00000000" w:rsidR="00000000" w:rsidRPr="00000000">
              <w:rPr>
                <w:rtl w:val="0"/>
              </w:rPr>
              <w:t xml:space="preserve">AC-0011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ind w:left="0" w:firstLine="0"/>
              <w:jc w:val="left"/>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left"/>
              <w:rPr/>
            </w:pPr>
            <w:r w:rsidDel="00000000" w:rsidR="00000000" w:rsidRPr="00000000">
              <w:rPr>
                <w:rtl w:val="0"/>
              </w:rPr>
              <w:t xml:space="preserve">AC-0012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ind w:left="0" w:firstLine="0"/>
              <w:jc w:val="left"/>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left"/>
              <w:rPr/>
            </w:pPr>
            <w:r w:rsidDel="00000000" w:rsidR="00000000" w:rsidRPr="00000000">
              <w:rPr>
                <w:rtl w:val="0"/>
              </w:rPr>
              <w:t xml:space="preserve">AC-0013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ind w:left="0" w:firstLine="0"/>
              <w:jc w:val="left"/>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left"/>
              <w:rPr/>
            </w:pPr>
            <w:r w:rsidDel="00000000" w:rsidR="00000000" w:rsidRPr="00000000">
              <w:rPr>
                <w:rtl w:val="0"/>
              </w:rPr>
              <w:t xml:space="preserve">AC-0014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left"/>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left"/>
              <w:rPr/>
            </w:pPr>
            <w:r w:rsidDel="00000000" w:rsidR="00000000" w:rsidRPr="00000000">
              <w:rPr>
                <w:rtl w:val="0"/>
              </w:rPr>
              <w:t xml:space="preserve">AC-0015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ind w:left="0" w:firstLine="0"/>
              <w:jc w:val="left"/>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left"/>
              <w:rPr/>
            </w:pPr>
            <w:r w:rsidDel="00000000" w:rsidR="00000000" w:rsidRPr="00000000">
              <w:rPr>
                <w:rtl w:val="0"/>
              </w:rPr>
              <w:t xml:space="preserve">AC-0016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ind w:left="0" w:firstLine="0"/>
              <w:jc w:val="left"/>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left"/>
              <w:rPr/>
            </w:pPr>
            <w:r w:rsidDel="00000000" w:rsidR="00000000" w:rsidRPr="00000000">
              <w:rPr>
                <w:rtl w:val="0"/>
              </w:rPr>
              <w:t xml:space="preserve">AC-0017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ind w:left="0" w:firstLine="0"/>
              <w:jc w:val="left"/>
              <w:rPr/>
            </w:pPr>
            <w:r w:rsidDel="00000000" w:rsidR="00000000" w:rsidRPr="00000000">
              <w:rPr>
                <w:rtl w:val="0"/>
              </w:rPr>
              <w:t xml:space="preserve">Todos los pagos serán de forma online.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left"/>
              <w:rPr/>
            </w:pPr>
            <w:r w:rsidDel="00000000" w:rsidR="00000000" w:rsidRPr="00000000">
              <w:rPr>
                <w:rtl w:val="0"/>
              </w:rPr>
              <w:t xml:space="preserve">AC-0018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left"/>
              <w:rPr/>
            </w:pPr>
            <w:r w:rsidDel="00000000" w:rsidR="00000000" w:rsidRPr="00000000">
              <w:rPr>
                <w:rtl w:val="0"/>
              </w:rPr>
              <w:t xml:space="preserve">No se contempla la devolución de productos.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left"/>
              <w:rPr/>
            </w:pPr>
            <w:r w:rsidDel="00000000" w:rsidR="00000000" w:rsidRPr="00000000">
              <w:rPr>
                <w:rtl w:val="0"/>
              </w:rPr>
              <w:t xml:space="preserve">AC-0019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ind w:left="0" w:firstLine="0"/>
              <w:jc w:val="left"/>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left"/>
              <w:rPr/>
            </w:pPr>
            <w:r w:rsidDel="00000000" w:rsidR="00000000" w:rsidRPr="00000000">
              <w:rPr>
                <w:rtl w:val="0"/>
              </w:rPr>
              <w:t xml:space="preserve">AC-0020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ind w:left="0" w:firstLine="0"/>
              <w:jc w:val="left"/>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left"/>
              <w:rPr/>
            </w:pPr>
            <w:r w:rsidDel="00000000" w:rsidR="00000000" w:rsidRPr="00000000">
              <w:rPr>
                <w:rtl w:val="0"/>
              </w:rPr>
              <w:t xml:space="preserve">AC-0021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left"/>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left"/>
              <w:rPr/>
            </w:pPr>
            <w:r w:rsidDel="00000000" w:rsidR="00000000" w:rsidRPr="00000000">
              <w:rPr>
                <w:rtl w:val="0"/>
              </w:rPr>
              <w:t xml:space="preserve">AC-0022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left"/>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left"/>
              <w:rPr/>
            </w:pPr>
            <w:r w:rsidDel="00000000" w:rsidR="00000000" w:rsidRPr="00000000">
              <w:rPr>
                <w:rtl w:val="0"/>
              </w:rPr>
              <w:t xml:space="preserve">AC-0023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ind w:left="0" w:firstLine="0"/>
              <w:jc w:val="left"/>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left"/>
              <w:rPr/>
            </w:pPr>
            <w:r w:rsidDel="00000000" w:rsidR="00000000" w:rsidRPr="00000000">
              <w:rPr>
                <w:rtl w:val="0"/>
              </w:rPr>
              <w:t xml:space="preserve">AC-0024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ind w:left="0" w:firstLine="0"/>
              <w:jc w:val="left"/>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left"/>
              <w:rPr/>
            </w:pPr>
            <w:r w:rsidDel="00000000" w:rsidR="00000000" w:rsidRPr="00000000">
              <w:rPr>
                <w:rtl w:val="0"/>
              </w:rPr>
              <w:t xml:space="preserve">AC-0025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left"/>
              <w:rPr/>
            </w:pPr>
            <w:r w:rsidDel="00000000" w:rsidR="00000000" w:rsidRPr="00000000">
              <w:rPr>
                <w:rtl w:val="0"/>
              </w:rPr>
              <w:t xml:space="preserve">Métodos de pago: Contrareembolso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left"/>
              <w:rPr/>
            </w:pPr>
            <w:r w:rsidDel="00000000" w:rsidR="00000000" w:rsidRPr="00000000">
              <w:rPr>
                <w:rtl w:val="0"/>
              </w:rPr>
              <w:t xml:space="preserve">Seguridad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left"/>
              <w:rPr/>
            </w:pPr>
            <w:r w:rsidDel="00000000" w:rsidR="00000000" w:rsidRPr="00000000">
              <w:rPr>
                <w:rtl w:val="0"/>
              </w:rPr>
              <w:t xml:space="preserve">AC-0026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left"/>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left"/>
              <w:rPr/>
            </w:pPr>
            <w:r w:rsidDel="00000000" w:rsidR="00000000" w:rsidRPr="00000000">
              <w:rPr>
                <w:rtl w:val="0"/>
              </w:rPr>
              <w:t xml:space="preserve">AC-0027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ind w:left="0" w:firstLine="0"/>
              <w:jc w:val="left"/>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left"/>
              <w:rPr/>
            </w:pPr>
            <w:r w:rsidDel="00000000" w:rsidR="00000000" w:rsidRPr="00000000">
              <w:rPr>
                <w:rtl w:val="0"/>
              </w:rPr>
              <w:t xml:space="preserve">AC-0028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ind w:left="0" w:firstLine="0"/>
              <w:jc w:val="left"/>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left"/>
              <w:rPr/>
            </w:pPr>
            <w:r w:rsidDel="00000000" w:rsidR="00000000" w:rsidRPr="00000000">
              <w:rPr>
                <w:rtl w:val="0"/>
              </w:rPr>
              <w:t xml:space="preserve">AC-0029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ind w:left="0" w:firstLine="0"/>
              <w:jc w:val="left"/>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left"/>
              <w:rPr/>
            </w:pPr>
            <w:r w:rsidDel="00000000" w:rsidR="00000000" w:rsidRPr="00000000">
              <w:rPr>
                <w:rtl w:val="0"/>
              </w:rPr>
              <w:t xml:space="preserve">AC-0030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ind w:left="0" w:firstLine="0"/>
              <w:jc w:val="left"/>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left"/>
              <w:rPr/>
            </w:pPr>
            <w:r w:rsidDel="00000000" w:rsidR="00000000" w:rsidRPr="00000000">
              <w:rPr>
                <w:rtl w:val="0"/>
              </w:rPr>
              <w:t xml:space="preserve">AC-0031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ind w:left="0" w:firstLine="0"/>
              <w:jc w:val="left"/>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left"/>
              <w:rPr/>
            </w:pPr>
            <w:r w:rsidDel="00000000" w:rsidR="00000000" w:rsidRPr="00000000">
              <w:rPr>
                <w:rtl w:val="0"/>
              </w:rPr>
              <w:t xml:space="preserve">AC-0032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ind w:left="0" w:firstLine="0"/>
              <w:jc w:val="left"/>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left"/>
              <w:rPr/>
            </w:pPr>
            <w:r w:rsidDel="00000000" w:rsidR="00000000" w:rsidRPr="00000000">
              <w:rPr>
                <w:rtl w:val="0"/>
              </w:rPr>
              <w:t xml:space="preserve">AC-0033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ind w:left="0" w:firstLine="0"/>
              <w:jc w:val="left"/>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jc w:val="left"/>
              <w:rPr/>
            </w:pPr>
            <w:r w:rsidDel="00000000" w:rsidR="00000000" w:rsidRPr="00000000">
              <w:rPr>
                <w:rtl w:val="0"/>
              </w:rPr>
              <w:t xml:space="preserve">AC-0034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left"/>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left"/>
              <w:rPr/>
            </w:pPr>
            <w:r w:rsidDel="00000000" w:rsidR="00000000" w:rsidRPr="00000000">
              <w:rPr>
                <w:rtl w:val="0"/>
              </w:rPr>
              <w:t xml:space="preserve">AC-0035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ind w:left="0" w:firstLine="0"/>
              <w:jc w:val="left"/>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left"/>
              <w:rPr/>
            </w:pPr>
            <w:r w:rsidDel="00000000" w:rsidR="00000000" w:rsidRPr="00000000">
              <w:rPr>
                <w:rtl w:val="0"/>
              </w:rPr>
              <w:t xml:space="preserve">AC-0036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left"/>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left"/>
              <w:rPr/>
            </w:pPr>
            <w:r w:rsidDel="00000000" w:rsidR="00000000" w:rsidRPr="00000000">
              <w:rPr>
                <w:rtl w:val="0"/>
              </w:rPr>
              <w:t xml:space="preserve">AC-0037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left"/>
              <w:rPr/>
            </w:pPr>
            <w:r w:rsidDel="00000000" w:rsidR="00000000" w:rsidRPr="00000000">
              <w:rPr>
                <w:rtl w:val="0"/>
              </w:rPr>
              <w:t xml:space="preserve">Procedimiento de devolución (política de devolución), el cliente tiene que tener la opción de devolver un producto, en dicho caso se le deberá mostrar la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left"/>
              <w:rPr/>
            </w:pPr>
            <w:r w:rsidDel="00000000" w:rsidR="00000000" w:rsidRPr="00000000">
              <w:rPr>
                <w:rtl w:val="0"/>
              </w:rPr>
              <w:t xml:space="preserve">Project Manager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left"/>
              <w:rPr/>
            </w:pPr>
            <w:r w:rsidDel="00000000" w:rsidR="00000000" w:rsidRPr="00000000">
              <w:rPr>
                <w:rtl w:val="0"/>
              </w:rPr>
              <w:t xml:space="preserve">AC-0038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left"/>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left"/>
              <w:rPr/>
            </w:pPr>
            <w:r w:rsidDel="00000000" w:rsidR="00000000" w:rsidRPr="00000000">
              <w:rPr>
                <w:rtl w:val="0"/>
              </w:rPr>
              <w:t xml:space="preserve">Alta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left"/>
              <w:rPr/>
            </w:pPr>
            <w:r w:rsidDel="00000000" w:rsidR="00000000" w:rsidRPr="00000000">
              <w:rPr>
                <w:rtl w:val="0"/>
              </w:rPr>
              <w:t xml:space="preserve">Project Manager</w:t>
            </w:r>
          </w:p>
        </w:tc>
      </w:tr>
    </w:tbl>
    <w:p w:rsidR="00000000" w:rsidDel="00000000" w:rsidP="00000000" w:rsidRDefault="00000000" w:rsidRPr="00000000" w14:paraId="00000115">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Style w:val="Heading1"/>
      <w:rPr/>
    </w:pPr>
    <w:bookmarkStart w:colFirst="0" w:colLast="0" w:name="_heading=h.1hmsyys" w:id="14"/>
    <w:bookmarkEnd w:id="14"/>
    <w:r w:rsidDel="00000000" w:rsidR="00000000" w:rsidRPr="00000000">
      <w:rPr>
        <w:rtl w:val="0"/>
      </w:rPr>
    </w:r>
  </w:p>
  <w:p w:rsidR="00000000" w:rsidDel="00000000" w:rsidP="00000000" w:rsidRDefault="00000000" w:rsidRPr="00000000" w14:paraId="000001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ogRann/Y5Qd2YdbhyJXwth/0Q==">AMUW2mUP+yDIZFuHqAbzB7tyvpKDmhnNyi+oUG+0J1xi1HWYlx7oY/dlroGSpkycnR3Fu6WlkXVPYfQ4GoRLoT1PU5XxW7agGgYbhV5HkdyB8PzRqkLUOBoP/G0Z3HTvaUP4ExXb8nmFe/pEC48DVXhjKMg+T2CAJpIcdfgvJoUssnbMMU4O7SaN9nsb9tsCpf6icutoXgqVYG/1JBDIkzO2eIq24JmvTJX2AQaL64Sqlp0HOAKYV69M4JimS2sY49QI0ZqegA1NLIeI1M2DRRSto0lfAAYIt1E1CMv6Eji00ZUk9nvKnLo3La6GEJeYysrgwcuP/vWJVselLCRkGyTZ+4D1WUQt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