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Plan de Gestión de Adquisiciones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-419092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:28/10/2022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85"/>
        <w:gridCol w:w="1470"/>
        <w:gridCol w:w="1845"/>
        <w:gridCol w:w="2040"/>
        <w:gridCol w:w="2430"/>
        <w:tblGridChange w:id="0">
          <w:tblGrid>
            <w:gridCol w:w="1080"/>
            <w:gridCol w:w="1185"/>
            <w:gridCol w:w="1470"/>
            <w:gridCol w:w="1845"/>
            <w:gridCol w:w="204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 Benítez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Puesta a punto y 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siz6ehnnqbr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  <w:u w:val="none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Adquisición de la integración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Aproximación a la integración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bienes obtenidos para el proyecto serán usados parte para el desarrollo de la documentación y parte par el desarrollo del mismo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 Project, Drive y el libro PMBOK son necesarios al inicio (20/09/22), ya que se usan para el desarrollo de la documentación, la cual se inicia al comenzar el proyecto.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resto de recursos adquiridos serán necesarios para la ejecución del proyecto (28/10/22)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documentación dada por los vendedores será útil para el desarrollo del plan de gestión de recursos y de adquisiciones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  <w:u w:val="none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Plazo de actividades de adquisición clave</w:t>
      </w:r>
    </w:p>
    <w:p w:rsidR="00000000" w:rsidDel="00000000" w:rsidP="00000000" w:rsidRDefault="00000000" w:rsidRPr="00000000" w14:paraId="00000041">
      <w:pPr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Métricas de rendimiento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250"/>
        <w:gridCol w:w="4185"/>
        <w:tblGridChange w:id="0">
          <w:tblGrid>
            <w:gridCol w:w="2580"/>
            <w:gridCol w:w="2250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Métrica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Método de medición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PMBOK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 project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software es compatible con el dispositivo usado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software es compatible con el dispositivo usado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software es compatible con el dispositivo usado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software es compatible con el dispositivo usado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software es compatible con el dispositivo usado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  <w:u w:val="none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Roles, responsabilidad y autoridad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de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seguimiento de la correcta ejecución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Tienen autoridad sobre la planificación y sobre el equipo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Ejecución del desarrollo del proyecto siguiendo la planificación dada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Tienen autoridad en las decisiones dentro de la ejecución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 y cliente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Alinear al proyecto con los objetivos del negocio, la estrategia y las demás metas. Garantizar que el lanzamiento y la implementación del proyecto sean los apropiados.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Tienen la autoridad máxima en todo lo que rodea el proyecto</w:t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  <w:u w:val="none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Supuestos y restricciones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590"/>
        <w:tblGridChange w:id="0">
          <w:tblGrid>
            <w:gridCol w:w="141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Supuesto/Restricción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SUP-003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miembros del equipo dispondrán de las herramientas, tecnologías y recursos necesarios para la realización del proyecto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  <w:u w:val="none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Jurisdicción legal y moneda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El proyecto será desarrollado en España, por lo que tendremos en cuenta la jurisdicción legal española. La moneda usada será el euro.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  <w:u w:val="none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Estimaciones Independientes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  <w:u w:val="none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Gestión de riesgos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  <w:u w:val="none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Vendedores precalificados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1. Microsoft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2. PMBOK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Style w:val="Heading1"/>
      <w:rPr/>
    </w:pPr>
    <w:bookmarkStart w:colFirst="0" w:colLast="0" w:name="_heading=h.1hmsyys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sbKOU9uPxxzoJqq1BdPIbHaXxg==">AMUW2mVrC8l9WRX8tMZr/mxEEqNbZJZ9dx6IcCGOhe2sAfeRPhqzrkg40UbxvS3/iLv2HX1UOuzjd1kWmOFxaMeqIgX4kE/ZP8e82CJIliUK3IoO2+J+szPrSk86BNv5e4DSAMyDbCqdoZhysUc2Z4/aBpV9+eTcfyYceupjZSfkRFzYc9s5qAYU19bAIGeF2zcvMM7SdxGfIeiUIwvfP1MNl4UnJ5nOcBki/n7BGJOo+sRrYZ42PiNfxS2UYZAZfhas60ZUFKsPpG4kyDM2Y6nh3o5sf9YZyyECkqvq9EXQeAi8ZK4tp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