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:26/10/2022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665"/>
        <w:gridCol w:w="1875"/>
        <w:gridCol w:w="2715"/>
        <w:gridCol w:w="2625"/>
        <w:tblGridChange w:id="0">
          <w:tblGrid>
            <w:gridCol w:w="1335"/>
            <w:gridCol w:w="1425"/>
            <w:gridCol w:w="1665"/>
            <w:gridCol w:w="187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1hpiobxaa7v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bzn8xktn66qz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bzn8xktn66qz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_heading=h.bzn8xktn66qz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ydz53m1fj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Unidades de medida, nivel de exactitud y nivel de precisión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_heading=h.gydz53m1fjts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95p7hga94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Cuentas de control en la EDT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_heading=h.y95p7hga945b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4ydxw1isfo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Umbrales de control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_heading=h.i4ydxw1isfo4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ybms9exqqw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Reglas para la medición del desempeño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_heading=h.9ybms9exqqww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5p7kvmzi41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Plantillas para los informes y frecuencia de entrega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_heading=h.l5p7kvmzi41t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33ngiat52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Bases para las estimaciones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_heading=h.2u33ngiat52n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Style w:val="Heading1"/>
      <w:rPr/>
    </w:pPr>
    <w:bookmarkStart w:colFirst="0" w:colLast="0" w:name="_heading=h.1hmsyys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7dsd5eWDqXfpQfLFJXBLcBDwA==">AMUW2mWP0kfjDpNw6W87k/pBsaFgtVjYeHo01jUOgCuDYeJVzWT4GGD8iBJublNoTBLdx1OLfgvtJRL0R1iWCC/07V6EOzwraeaKhhBKaU9fNCwjVJTqfWveR07up35RWyj/dlwAZys2BzMyVtlhvjfi1diIwDEtXXpF74h4eX/Seomev0u51eZIFDWJRYYHUEdVF6ClXh0/vRxxyLG6x6c66kSstz688qCxaJLDdspZyMK8/2gB+ixYYQmSOJLjjUKx1iykwB0j08mbzWRALcSWi05xdoY6g4028qHKMCVydfLQxmv9oH2p4bHncymKqc/LMWbS2Xs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