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del Alcance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845"/>
        <w:gridCol w:w="2040"/>
        <w:gridCol w:w="2430"/>
        <w:tblGridChange w:id="0">
          <w:tblGrid>
            <w:gridCol w:w="1080"/>
            <w:gridCol w:w="1185"/>
            <w:gridCol w:w="1470"/>
            <w:gridCol w:w="1845"/>
            <w:gridCol w:w="2040"/>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28">
      <w:pPr>
        <w:pStyle w:val="Heading1"/>
        <w:rPr/>
      </w:pPr>
      <w:bookmarkStart w:colFirst="0" w:colLast="0" w:name="_heading=h.siz6ehnnqbr9"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Cómo se definirá 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2"/>
        </w:numPr>
        <w:ind w:left="720" w:hanging="360"/>
      </w:pPr>
      <w:bookmarkStart w:colFirst="0" w:colLast="0" w:name="_heading=h.exjmh0la3a5x" w:id="12"/>
      <w:bookmarkEnd w:id="12"/>
      <w:r w:rsidDel="00000000" w:rsidR="00000000" w:rsidRPr="00000000">
        <w:rPr>
          <w:rtl w:val="0"/>
        </w:rPr>
        <w:t xml:space="preserve">Cómo se definirá el alcance</w:t>
      </w:r>
    </w:p>
    <w:p w:rsidR="00000000" w:rsidDel="00000000" w:rsidP="00000000" w:rsidRDefault="00000000" w:rsidRPr="00000000" w14:paraId="0000004F">
      <w:pPr>
        <w:ind w:left="0" w:firstLine="0"/>
        <w:rPr>
          <w:color w:val="cc0000"/>
        </w:rPr>
      </w:pPr>
      <w:r w:rsidDel="00000000" w:rsidR="00000000" w:rsidRPr="00000000">
        <w:rPr>
          <w:color w:val="cc0000"/>
          <w:rtl w:val="0"/>
        </w:rPr>
        <w:t xml:space="preserve">1.1 Cómo se </w:t>
      </w:r>
      <w:r w:rsidDel="00000000" w:rsidR="00000000" w:rsidRPr="00000000">
        <w:rPr>
          <w:color w:val="cc0000"/>
          <w:rtl w:val="0"/>
        </w:rPr>
        <w:t xml:space="preserve">describirá</w:t>
      </w:r>
      <w:r w:rsidDel="00000000" w:rsidR="00000000" w:rsidRPr="00000000">
        <w:rPr>
          <w:color w:val="cc0000"/>
          <w:rtl w:val="0"/>
        </w:rPr>
        <w:t xml:space="preserve"> el alcance</w:t>
      </w:r>
    </w:p>
    <w:p w:rsidR="00000000" w:rsidDel="00000000" w:rsidP="00000000" w:rsidRDefault="00000000" w:rsidRPr="00000000" w14:paraId="00000050">
      <w:pPr>
        <w:ind w:left="0" w:firstLine="0"/>
        <w:rPr/>
      </w:pPr>
      <w:r w:rsidDel="00000000" w:rsidR="00000000" w:rsidRPr="00000000">
        <w:rPr>
          <w:rtl w:val="0"/>
        </w:rPr>
        <w:t xml:space="preserve">El alcance del proyecto ha sido desarrollado por los miembros del equipo directivo y aprobado por el cliente. En él recogemos qué es lo que se espera del proyecto, los objetivos propuestos y una descripción de las técnicas y herramientas que usaremos para ello.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color w:val="cc0000"/>
        </w:rPr>
      </w:pPr>
      <w:r w:rsidDel="00000000" w:rsidR="00000000" w:rsidRPr="00000000">
        <w:rPr>
          <w:color w:val="cc0000"/>
          <w:rtl w:val="0"/>
        </w:rPr>
        <w:t xml:space="preserve">1.2 Técnicas para la captura del alcance</w:t>
      </w:r>
    </w:p>
    <w:p w:rsidR="00000000" w:rsidDel="00000000" w:rsidP="00000000" w:rsidRDefault="00000000" w:rsidRPr="00000000" w14:paraId="00000053">
      <w:pPr>
        <w:ind w:left="0" w:firstLine="0"/>
        <w:rPr/>
      </w:pPr>
      <w:r w:rsidDel="00000000" w:rsidR="00000000" w:rsidRPr="00000000">
        <w:rPr>
          <w:rtl w:val="0"/>
        </w:rPr>
        <w:t xml:space="preserve">Para definir el alcance usamos la recolección de requisitos, a partir de los cuales nos marcamos unos objetivos que cumplan las expectativas del cliente y las nuestras propias. Estos objetivos vienen definidos generalmente por los plazos, la cantidad de requisitos completados y la aprobación por todas las partes del proyecto.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color w:val="cc0000"/>
        </w:rPr>
      </w:pPr>
      <w:r w:rsidDel="00000000" w:rsidR="00000000" w:rsidRPr="00000000">
        <w:rPr>
          <w:color w:val="cc0000"/>
          <w:rtl w:val="0"/>
        </w:rPr>
        <w:t xml:space="preserve">1.3 Reuniones necesarias</w:t>
      </w:r>
    </w:p>
    <w:p w:rsidR="00000000" w:rsidDel="00000000" w:rsidP="00000000" w:rsidRDefault="00000000" w:rsidRPr="00000000" w14:paraId="00000056">
      <w:pPr>
        <w:ind w:left="0" w:firstLine="0"/>
        <w:rPr/>
      </w:pPr>
      <w:r w:rsidDel="00000000" w:rsidR="00000000" w:rsidRPr="00000000">
        <w:rPr>
          <w:rtl w:val="0"/>
        </w:rPr>
        <w:t xml:space="preserve">En general hemos necesitado una reunión en la que hablamos de todo lo definido en el alcance, incluido requisitos, prioridades, entregables, enunciado del alcance, etc. Sin embargo, muchas de las decisiones posteriormente tomadas se han tenido en cuenta una vez realizado el seguimiento con el cliente.</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color w:val="cc0000"/>
        </w:rPr>
      </w:pPr>
      <w:r w:rsidDel="00000000" w:rsidR="00000000" w:rsidRPr="00000000">
        <w:rPr>
          <w:color w:val="cc0000"/>
          <w:rtl w:val="0"/>
        </w:rPr>
        <w:t xml:space="preserve">1.4 Interesados implicados</w:t>
      </w:r>
    </w:p>
    <w:p w:rsidR="00000000" w:rsidDel="00000000" w:rsidP="00000000" w:rsidRDefault="00000000" w:rsidRPr="00000000" w14:paraId="00000059">
      <w:pPr>
        <w:ind w:left="0" w:firstLine="0"/>
        <w:rPr/>
      </w:pPr>
      <w:r w:rsidDel="00000000" w:rsidR="00000000" w:rsidRPr="00000000">
        <w:rPr>
          <w:rtl w:val="0"/>
        </w:rPr>
      </w:r>
    </w:p>
    <w:tbl>
      <w:tblPr>
        <w:tblStyle w:val="Table2"/>
        <w:tblW w:w="84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00"/>
        <w:gridCol w:w="2940"/>
        <w:tblGridChange w:id="0">
          <w:tblGrid>
            <w:gridCol w:w="2775"/>
            <w:gridCol w:w="2700"/>
            <w:gridCol w:w="29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63">
            <w:pPr>
              <w:widowControl w:val="0"/>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64">
            <w:pPr>
              <w:widowControl w:val="0"/>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65">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66">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color w:val="cc0000"/>
        </w:rPr>
      </w:pPr>
      <w:r w:rsidDel="00000000" w:rsidR="00000000" w:rsidRPr="00000000">
        <w:rPr>
          <w:color w:val="cc0000"/>
          <w:rtl w:val="0"/>
        </w:rPr>
        <w:t xml:space="preserve">1.5 Cómo interpretar la EDT</w:t>
      </w:r>
    </w:p>
    <w:p w:rsidR="00000000" w:rsidDel="00000000" w:rsidP="00000000" w:rsidRDefault="00000000" w:rsidRPr="00000000" w14:paraId="0000006A">
      <w:pPr>
        <w:ind w:left="0" w:firstLine="0"/>
        <w:rPr/>
      </w:pPr>
      <w:r w:rsidDel="00000000" w:rsidR="00000000" w:rsidRPr="00000000">
        <w:rPr>
          <w:rtl w:val="0"/>
        </w:rPr>
        <w:t xml:space="preserve">La EDT tiene 5 bloques principales: inicio, planificación, ejecución, ‘seguimiento y control’ y cierre.</w:t>
      </w:r>
    </w:p>
    <w:p w:rsidR="00000000" w:rsidDel="00000000" w:rsidP="00000000" w:rsidRDefault="00000000" w:rsidRPr="00000000" w14:paraId="0000006B">
      <w:pPr>
        <w:ind w:left="0" w:firstLine="0"/>
        <w:rPr/>
      </w:pPr>
      <w:r w:rsidDel="00000000" w:rsidR="00000000" w:rsidRPr="00000000">
        <w:rPr>
          <w:rtl w:val="0"/>
        </w:rPr>
        <w:t xml:space="preserve">En el inicio creamos el acta de constitución con las bases del proyecto, el registro de supuestos y el registro de interesados.</w:t>
      </w:r>
    </w:p>
    <w:p w:rsidR="00000000" w:rsidDel="00000000" w:rsidP="00000000" w:rsidRDefault="00000000" w:rsidRPr="00000000" w14:paraId="0000006C">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 Al igual que en el inicio, todas las actividades son documentación.</w:t>
      </w:r>
    </w:p>
    <w:p w:rsidR="00000000" w:rsidDel="00000000" w:rsidP="00000000" w:rsidRDefault="00000000" w:rsidRPr="00000000" w14:paraId="0000006D">
      <w:pPr>
        <w:ind w:left="0" w:firstLine="0"/>
        <w:rPr/>
      </w:pPr>
      <w:r w:rsidDel="00000000" w:rsidR="00000000" w:rsidRPr="00000000">
        <w:rPr>
          <w:rtl w:val="0"/>
        </w:rPr>
        <w:t xml:space="preserve">El tercer bloque es la ejecución, en la que se realiza el desarrollo del proyecto.</w:t>
      </w:r>
    </w:p>
    <w:p w:rsidR="00000000" w:rsidDel="00000000" w:rsidP="00000000" w:rsidRDefault="00000000" w:rsidRPr="00000000" w14:paraId="0000006E">
      <w:pPr>
        <w:ind w:left="0" w:firstLine="0"/>
        <w:rPr/>
      </w:pPr>
      <w:r w:rsidDel="00000000" w:rsidR="00000000" w:rsidRPr="00000000">
        <w:rPr>
          <w:rtl w:val="0"/>
        </w:rPr>
        <w:t xml:space="preserve">El bloque de Seguimiento y control se basa en valorar la calidad, el alcance y lo previamente acordado con el cliente para ver si lo desarrollado es como se había planeado.</w:t>
      </w:r>
    </w:p>
    <w:p w:rsidR="00000000" w:rsidDel="00000000" w:rsidP="00000000" w:rsidRDefault="00000000" w:rsidRPr="00000000" w14:paraId="0000006F">
      <w:pPr>
        <w:ind w:left="0" w:firstLine="0"/>
        <w:rPr/>
      </w:pPr>
      <w:r w:rsidDel="00000000" w:rsidR="00000000" w:rsidRPr="00000000">
        <w:rPr>
          <w:rtl w:val="0"/>
        </w:rPr>
        <w:t xml:space="preserve">Por último tenemos el cierre, en el cual, si todo sale tal como lo planeado, se cierra el proyecto y se presenta.</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color w:val="cc0000"/>
        </w:rPr>
      </w:pPr>
      <w:r w:rsidDel="00000000" w:rsidR="00000000" w:rsidRPr="00000000">
        <w:rPr>
          <w:color w:val="cc0000"/>
          <w:rtl w:val="0"/>
        </w:rPr>
        <w:t xml:space="preserve">1.6 Cómo crear la lista de trabajo pendiente durante la ejecución (producto backlog) </w:t>
      </w:r>
    </w:p>
    <w:p w:rsidR="00000000" w:rsidDel="00000000" w:rsidP="00000000" w:rsidRDefault="00000000" w:rsidRPr="00000000" w14:paraId="00000072">
      <w:pPr>
        <w:ind w:left="0" w:firstLine="0"/>
        <w:rPr/>
      </w:pPr>
      <w:r w:rsidDel="00000000" w:rsidR="00000000" w:rsidRPr="00000000">
        <w:rPr>
          <w:rtl w:val="0"/>
        </w:rPr>
        <w:t xml:space="preserve">Para el proceso de desarrollo tendremos una lista de requisitos con prioridad sobre otros, que serán los más importantes en ese momento y los que primero hay que hacer, dentro de una propia iteración. Una vez completado el requisito, este será eliminado de la lista.</w:t>
      </w:r>
    </w:p>
    <w:p w:rsidR="00000000" w:rsidDel="00000000" w:rsidP="00000000" w:rsidRDefault="00000000" w:rsidRPr="00000000" w14:paraId="00000073">
      <w:pPr>
        <w:ind w:left="0" w:firstLine="0"/>
        <w:rPr/>
      </w:pPr>
      <w:r w:rsidDel="00000000" w:rsidR="00000000" w:rsidRPr="00000000">
        <w:rPr>
          <w:rtl w:val="0"/>
        </w:rPr>
        <w:t xml:space="preserve">Para ello usaremos un documento al que todos los desarrolladores tengan acceso con todos los requisitos. Todos los requisitos tendrán un apartado de estado en el que se especificará si está completado, está en desarrollo o no se ha empezado a desarrollar</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color w:val="cc0000"/>
        </w:rPr>
      </w:pPr>
      <w:r w:rsidDel="00000000" w:rsidR="00000000" w:rsidRPr="00000000">
        <w:rPr>
          <w:color w:val="cc0000"/>
          <w:rtl w:val="0"/>
        </w:rPr>
        <w:t xml:space="preserve">1.7  Cómo determinar las iteraciones</w:t>
      </w:r>
    </w:p>
    <w:p w:rsidR="00000000" w:rsidDel="00000000" w:rsidP="00000000" w:rsidRDefault="00000000" w:rsidRPr="00000000" w14:paraId="00000076">
      <w:pPr>
        <w:ind w:left="0" w:firstLine="0"/>
        <w:rPr/>
      </w:pPr>
      <w:r w:rsidDel="00000000" w:rsidR="00000000" w:rsidRPr="00000000">
        <w:rPr>
          <w:rtl w:val="0"/>
        </w:rPr>
        <w:t xml:space="preserve">Durante el desarrollo del proyecto tendremos 3 iteraciones. En ellas se han repartido equitativamente los requisitos de los distintos niveles de prioridad, de manera que en todas las iteraciones se trabaje la misma cantidad de requisitos.</w:t>
      </w:r>
      <w:r w:rsidDel="00000000" w:rsidR="00000000" w:rsidRPr="00000000">
        <w:rPr>
          <w:rtl w:val="0"/>
        </w:rPr>
      </w:r>
    </w:p>
    <w:p w:rsidR="00000000" w:rsidDel="00000000" w:rsidP="00000000" w:rsidRDefault="00000000" w:rsidRPr="00000000" w14:paraId="00000077">
      <w:pPr>
        <w:pStyle w:val="Heading1"/>
        <w:numPr>
          <w:ilvl w:val="0"/>
          <w:numId w:val="2"/>
        </w:numPr>
        <w:ind w:left="708.6614173228347" w:hanging="425.19685039370086"/>
        <w:rPr/>
      </w:pPr>
      <w:bookmarkStart w:colFirst="0" w:colLast="0" w:name="_heading=h.1wtrc7m5655x" w:id="13"/>
      <w:bookmarkEnd w:id="13"/>
      <w:r w:rsidDel="00000000" w:rsidR="00000000" w:rsidRPr="00000000">
        <w:rPr>
          <w:rtl w:val="0"/>
        </w:rPr>
        <w:t xml:space="preserve">Documentos asociados</w:t>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Enunciado del alcance </w:t>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Documento de requisitos</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Matriz de trazabilidad de requisitos</w:t>
      </w:r>
    </w:p>
    <w:p w:rsidR="00000000" w:rsidDel="00000000" w:rsidP="00000000" w:rsidRDefault="00000000" w:rsidRPr="00000000" w14:paraId="0000007B">
      <w:pPr>
        <w:numPr>
          <w:ilvl w:val="0"/>
          <w:numId w:val="1"/>
        </w:numPr>
        <w:ind w:left="1440" w:hanging="360"/>
        <w:rPr>
          <w:u w:val="none"/>
        </w:rPr>
      </w:pPr>
      <w:r w:rsidDel="00000000" w:rsidR="00000000" w:rsidRPr="00000000">
        <w:rPr>
          <w:rtl w:val="0"/>
        </w:rPr>
        <w:t xml:space="preserve">EDT</w:t>
      </w:r>
    </w:p>
    <w:p w:rsidR="00000000" w:rsidDel="00000000" w:rsidP="00000000" w:rsidRDefault="00000000" w:rsidRPr="00000000" w14:paraId="0000007C">
      <w:pPr>
        <w:numPr>
          <w:ilvl w:val="0"/>
          <w:numId w:val="1"/>
        </w:numPr>
        <w:ind w:left="1440" w:hanging="360"/>
        <w:rPr>
          <w:u w:val="none"/>
        </w:rPr>
      </w:pPr>
      <w:r w:rsidDel="00000000" w:rsidR="00000000" w:rsidRPr="00000000">
        <w:rPr>
          <w:rtl w:val="0"/>
        </w:rPr>
        <w:t xml:space="preserve">Diccionario EDT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2"/>
        </w:numPr>
        <w:ind w:left="708.6614173228347" w:hanging="425.19685039370086"/>
        <w:rPr/>
      </w:pPr>
      <w:bookmarkStart w:colFirst="0" w:colLast="0" w:name="_heading=h.rkkqh336rgxx" w:id="14"/>
      <w:bookmarkEnd w:id="14"/>
      <w:r w:rsidDel="00000000" w:rsidR="00000000" w:rsidRPr="00000000">
        <w:rPr>
          <w:rtl w:val="0"/>
        </w:rPr>
        <w:t xml:space="preserve">Plantillas utilizadas</w:t>
      </w:r>
    </w:p>
    <w:p w:rsidR="00000000" w:rsidDel="00000000" w:rsidP="00000000" w:rsidRDefault="00000000" w:rsidRPr="00000000" w14:paraId="0000007F">
      <w:pPr>
        <w:ind w:left="0" w:firstLine="0"/>
        <w:rPr/>
      </w:pPr>
      <w:r w:rsidDel="00000000" w:rsidR="00000000" w:rsidRPr="00000000">
        <w:rPr>
          <w:rtl w:val="0"/>
        </w:rPr>
        <w:t xml:space="preserve">Usaremos las plantillas proporcionadas por el sponsor, las cuales siguen la guía de PMBOK.</w:t>
      </w:r>
    </w:p>
    <w:p w:rsidR="00000000" w:rsidDel="00000000" w:rsidP="00000000" w:rsidRDefault="00000000" w:rsidRPr="00000000" w14:paraId="00000080">
      <w:pPr>
        <w:ind w:left="708.6614173228347" w:hanging="283.46456692913375"/>
        <w:rPr/>
      </w:pPr>
      <w:r w:rsidDel="00000000" w:rsidR="00000000" w:rsidRPr="00000000">
        <w:rPr>
          <w:rtl w:val="0"/>
        </w:rPr>
      </w:r>
    </w:p>
    <w:p w:rsidR="00000000" w:rsidDel="00000000" w:rsidP="00000000" w:rsidRDefault="00000000" w:rsidRPr="00000000" w14:paraId="00000081">
      <w:pPr>
        <w:numPr>
          <w:ilvl w:val="0"/>
          <w:numId w:val="2"/>
        </w:numPr>
        <w:ind w:left="708.6614173228347" w:hanging="283.46456692913375"/>
        <w:rPr>
          <w:b w:val="1"/>
          <w:color w:val="cc0000"/>
          <w:sz w:val="40"/>
          <w:szCs w:val="40"/>
        </w:rPr>
      </w:pPr>
      <w:r w:rsidDel="00000000" w:rsidR="00000000" w:rsidRPr="00000000">
        <w:rPr>
          <w:b w:val="1"/>
          <w:color w:val="cc0000"/>
          <w:sz w:val="40"/>
          <w:szCs w:val="40"/>
          <w:rtl w:val="0"/>
        </w:rPr>
        <w:t xml:space="preserve">Cómo se controlará el alcance</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Se analizará la variación del alcance planificado con el rendimiento que tiene el proyecto, teniendo en cuenta los posibles cambios que surjan durante el desarrollo. En caso de que haya una variación destacable, el equipo se reuniría para tomar alguna medida y así el requisito vuelva a estar acorde con el alcance planeado.</w:t>
      </w:r>
    </w:p>
    <w:sectPr>
      <w:headerReference r:id="rId15" w:type="default"/>
      <w:footerReference r:id="rId16" w:type="defaul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bbenmor@alum.us.es" TargetMode="External"/><Relationship Id="rId10" Type="http://schemas.openxmlformats.org/officeDocument/2006/relationships/hyperlink" Target="mailto:pabsanper3@alum.us.es" TargetMode="Externa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header" Target="header1.xml"/><Relationship Id="rId14" Type="http://schemas.openxmlformats.org/officeDocument/2006/relationships/hyperlink" Target="mailto:fravazmon@alum.us.es"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4IujEYyitx4QEHTB1FAotOtA==">AMUW2mXNH/qNHL0QMXdrbjuuDpwOj2dfIU8dGiVguVZY/iY8GS873w2K5UgJf1dg2eZc7Dx7RSkUBNYVfzO5t2e13Qj1CcEH+QtwETTIj0vzvZRr07YdRbS2g1O3oF9oTcuIaOyEbxQQE2v8BpM2lMxZ8mtynInwArfOjmxfnrgSUCdpzvMeGRosxVyYuwaetxMJRNSX4gcQO0OejJjMYgg8aSJyazWf4XcNFSewnluTDfFnNdL9DhiudhU8tGsL5McgYOYg1rW5RSVs7Nz8eqYFlxGUtcD5YLY9E3D3XmMn5JIJ9fEjRuuwfVMfX/ywbAbS9OQy0yl8sQNGeWJQ1P0v8ekWF2imG7ekBQHGLrk7c6X3go4g9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