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documentos y puesta a punto para entrega definitiva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31/10/2022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 entregado el viernes 28, reparto de tareas y elaboración de los documentos restantes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los siguientes documentos: Estimación de costes, Presupuesto, Línea base de Costes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los siguientes documentos: Actas de Reuniones, Plan de Gestión de los Costes, Cronograma, Secuenciación de Actividades, Plan de gestión de Adquisiciones, Plan de Gestión de Calidad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motivo de la entrega definitiva del día viernes 4 nos reunimos telemáticamente con el objetivo de  dar el último repaso a los documentos y corregirlos. Cada integrante pasó a completar el documento que le correspondía.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Extender Actas de Reuniones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 y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 costes restantes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AB, FJ</w:t>
            </w:r>
          </w:p>
        </w:tc>
      </w:tr>
    </w:tbl>
    <w:p w:rsidR="00000000" w:rsidDel="00000000" w:rsidP="00000000" w:rsidRDefault="00000000" w:rsidRPr="00000000" w14:paraId="0000007A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Revisión final de documentos para la entrega definitiva del viernes 4.</w:t>
            </w:r>
          </w:p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31/10/22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-85720</wp:posOffset>
          </wp:positionH>
          <wp:positionV relativeFrom="paragraph">
            <wp:posOffset>-180970</wp:posOffset>
          </wp:positionV>
          <wp:extent cx="1232168" cy="76073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-16505</wp:posOffset>
          </wp:positionH>
          <wp:positionV relativeFrom="paragraph">
            <wp:posOffset>-111119</wp:posOffset>
          </wp:positionV>
          <wp:extent cx="1097280" cy="631825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waJtdiUpEZkCCzDXhiLKV9ieg==">AMUW2mWhDUVCEHu+FVM8te/egOJVZZTZKlvnvKnyRcPRsf3HYklp7MAK5F/NAE5tOBiQw0Um7xcxPp+wkZt1KGEZtl/ACtRePBS4XflBqPH16AMT9PI60hwaIngR2/VT+7yShY81tTHY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