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Proporcionando recursos a una </w:t>
      </w:r>
      <w:r w:rsidR="00D74B12">
        <w:rPr>
          <w:rFonts w:ascii="Rotis Sans Serif Std" w:hAnsi="Rotis Sans Serif Std" w:cs="ArialMT"/>
          <w:lang w:val="es-ES"/>
        </w:rPr>
        <w:t>aplicación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w:t>
      </w:r>
      <w:r w:rsidR="00F803EA">
        <w:rPr>
          <w:rFonts w:ascii="Rotis Sans Serif Std" w:hAnsi="Rotis Sans Serif Std" w:cs="ArialMT"/>
          <w:lang w:val="es-ES"/>
        </w:rPr>
        <w:t>-</w:t>
      </w:r>
      <w:r w:rsidRPr="005139CF">
        <w:rPr>
          <w:rFonts w:ascii="Rotis Sans Serif Std" w:hAnsi="Rotis Sans Serif Std" w:cs="ArialMT"/>
          <w:lang w:val="es-ES"/>
        </w:rPr>
        <w: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5F3930">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Services</w:t>
      </w:r>
      <w:proofErr w:type="spellEnd"/>
      <w:r w:rsidRPr="00502C1F">
        <w:rPr>
          <w:rFonts w:ascii="Rotis Sans Serif Std" w:hAnsi="Rotis Sans Serif Std" w:cs="ArialMT"/>
          <w:lang w:val="es-ES"/>
        </w:rPr>
        <w:t>?</w:t>
      </w:r>
    </w:p>
    <w:p w:rsidR="00CA733B" w:rsidRPr="00502C1F" w:rsidRDefault="00FE1729"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Tipos de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FE1729"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Comparativa entre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E246CA" w:rsidP="005F3930">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IntentService</w:t>
      </w:r>
      <w:proofErr w:type="spellEnd"/>
      <w:r>
        <w:rPr>
          <w:rFonts w:ascii="Rotis Sans Serif Std" w:hAnsi="Rotis Sans Serif Std" w:cs="ArialMT"/>
          <w:lang w:val="es-ES"/>
        </w:rPr>
        <w:t>: u</w:t>
      </w:r>
      <w:r w:rsidR="00CA733B" w:rsidRPr="00502C1F">
        <w:rPr>
          <w:rFonts w:ascii="Rotis Sans Serif Std" w:hAnsi="Rotis Sans Serif Std" w:cs="ArialMT"/>
          <w:lang w:val="es-ES"/>
        </w:rPr>
        <w:t xml:space="preserve">n </w:t>
      </w:r>
      <w:proofErr w:type="spellStart"/>
      <w:r w:rsidR="00CA733B" w:rsidRPr="00502C1F">
        <w:rPr>
          <w:rFonts w:ascii="Rotis Sans Serif Std" w:hAnsi="Rotis Sans Serif Std" w:cs="ArialMT"/>
          <w:lang w:val="es-ES"/>
        </w:rPr>
        <w:t>Service</w:t>
      </w:r>
      <w:proofErr w:type="spellEnd"/>
      <w:r w:rsidR="00CA733B" w:rsidRPr="00502C1F">
        <w:rPr>
          <w:rFonts w:ascii="Rotis Sans Serif Std" w:hAnsi="Rotis Sans Serif Std" w:cs="ArialMT"/>
          <w:lang w:val="es-ES"/>
        </w:rPr>
        <w:t xml:space="preserve"> independiente</w:t>
      </w:r>
    </w:p>
    <w:p w:rsidR="00CA733B" w:rsidRPr="00C80D12" w:rsidRDefault="00CA733B" w:rsidP="005F3930">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 xml:space="preserve">Comunicación entre </w:t>
      </w:r>
      <w:proofErr w:type="spellStart"/>
      <w:r w:rsidRPr="00502C1F">
        <w:rPr>
          <w:rFonts w:ascii="Rotis Sans Serif Std" w:hAnsi="Rotis Sans Serif Std" w:cs="ArialMT"/>
          <w:lang w:val="es-ES"/>
        </w:rPr>
        <w:t>Services</w:t>
      </w:r>
      <w:proofErr w:type="spellEnd"/>
    </w:p>
    <w:p w:rsidR="00C80D12" w:rsidRPr="00502C1F" w:rsidRDefault="00C80D12" w:rsidP="005F3930">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Services</w:t>
      </w:r>
      <w:proofErr w:type="spellEnd"/>
      <w:r>
        <w:rPr>
          <w:rFonts w:ascii="Rotis Sans Serif Std" w:hAnsi="Rotis Sans Serif Std" w:cs="ArialMT"/>
          <w:lang w:val="es-ES"/>
        </w:rPr>
        <w:t xml:space="preserve"> y sucedáneos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w:t>
      </w:r>
      <w:r w:rsidR="00CB2377">
        <w:rPr>
          <w:rFonts w:ascii="Rotis Sans Serif Std" w:hAnsi="Rotis Sans Serif Std" w:cs="ArialMT"/>
          <w:lang w:val="es-ES"/>
        </w:rPr>
        <w:t>s</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FB0BB2"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Modificando </w:t>
      </w:r>
      <w:proofErr w:type="spellStart"/>
      <w:r>
        <w:rPr>
          <w:rFonts w:ascii="Rotis Sans Serif Std" w:hAnsi="Rotis Sans Serif Std" w:cs="ArialMT"/>
          <w:lang w:val="es-ES"/>
        </w:rPr>
        <w:t>intent</w:t>
      </w:r>
      <w:r w:rsidR="00D222E2">
        <w:rPr>
          <w:rFonts w:ascii="Rotis Sans Serif Std" w:hAnsi="Rotis Sans Serif Std" w:cs="ArialMT"/>
          <w:lang w:val="es-ES"/>
        </w:rPr>
        <w:t>-</w:t>
      </w:r>
      <w:r>
        <w:rPr>
          <w:rFonts w:ascii="Rotis Sans Serif Std" w:hAnsi="Rotis Sans Serif Std" w:cs="ArialMT"/>
          <w:lang w:val="es-ES"/>
        </w:rPr>
        <w:t>filter</w:t>
      </w:r>
      <w:r w:rsidR="00CA733B" w:rsidRPr="00502C1F">
        <w:rPr>
          <w:rFonts w:ascii="Rotis Sans Serif Std" w:hAnsi="Rotis Sans Serif Std" w:cs="ArialMT"/>
          <w:lang w:val="es-ES"/>
        </w:rPr>
        <w:t>s</w:t>
      </w:r>
      <w:proofErr w:type="spellEnd"/>
      <w:r w:rsidR="00CA733B" w:rsidRPr="00502C1F">
        <w:rPr>
          <w:rFonts w:ascii="Rotis Sans Serif Std" w:hAnsi="Rotis Sans Serif Std" w:cs="ArialMT"/>
          <w:lang w:val="es-ES"/>
        </w:rPr>
        <w:t xml:space="preserve"> en el </w:t>
      </w:r>
      <w:r w:rsidR="00CA733B" w:rsidRPr="00502C1F">
        <w:rPr>
          <w:rFonts w:ascii="Rotis Sans Serif Std" w:hAnsi="Rotis Sans Serif Std" w:cs="Arial-ItalicMT"/>
          <w:i/>
          <w:iCs/>
          <w:lang w:val="es-ES" w:bidi="he-IL"/>
        </w:rPr>
        <w:t xml:space="preserve">Android </w:t>
      </w:r>
      <w:proofErr w:type="spellStart"/>
      <w:r w:rsidR="00CA733B"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2E10CE" w:rsidP="00AC4E68">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Menús pop-up</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Creando</w:t>
      </w:r>
      <w:r w:rsidR="00C44480">
        <w:rPr>
          <w:rFonts w:ascii="Rotis Sans Serif Std" w:hAnsi="Rotis Sans Serif Std" w:cs="ArialMT"/>
          <w:lang w:val="es-ES"/>
        </w:rPr>
        <w:t xml:space="preserve"> u</w:t>
      </w:r>
      <w:bookmarkStart w:id="0" w:name="_GoBack"/>
      <w:bookmarkEnd w:id="0"/>
      <w:r w:rsidR="00C44480">
        <w:rPr>
          <w:rFonts w:ascii="Rotis Sans Serif Std" w:hAnsi="Rotis Sans Serif Std" w:cs="ArialMT"/>
          <w:lang w:val="es-ES"/>
        </w:rPr>
        <w:t xml:space="preserve">n </w:t>
      </w:r>
      <w:r w:rsidR="00C44480" w:rsidRPr="00C44480">
        <w:rPr>
          <w:rFonts w:ascii="Rotis Sans Serif Std" w:hAnsi="Rotis Sans Serif Std" w:cs="ArialMT"/>
          <w:i/>
          <w:iCs/>
          <w:lang w:val="es-ES"/>
        </w:rPr>
        <w:t>«</w:t>
      </w:r>
      <w:proofErr w:type="spellStart"/>
      <w:r w:rsidR="00C44480" w:rsidRPr="00C44480">
        <w:rPr>
          <w:rFonts w:ascii="Rotis Sans Serif Std" w:hAnsi="Rotis Sans Serif Std" w:cs="ArialMT"/>
          <w:i/>
          <w:iCs/>
          <w:lang w:val="es-ES"/>
        </w:rPr>
        <w:t>menu</w:t>
      </w:r>
      <w:proofErr w:type="spellEnd"/>
      <w:r w:rsidR="00C44480" w:rsidRPr="00C44480">
        <w:rPr>
          <w:rFonts w:ascii="Rotis Sans Serif Std" w:hAnsi="Rotis Sans Serif Std" w:cs="ArialMT"/>
          <w:i/>
          <w:iCs/>
          <w:lang w:val="es-ES"/>
        </w:rPr>
        <w:t xml:space="preserve"> </w:t>
      </w:r>
      <w:proofErr w:type="spellStart"/>
      <w:r w:rsidR="00C44480" w:rsidRPr="00C44480">
        <w:rPr>
          <w:rFonts w:ascii="Rotis Sans Serif Std" w:hAnsi="Rotis Sans Serif Std" w:cs="ArialMT"/>
          <w:i/>
          <w:iCs/>
          <w:lang w:val="es-ES"/>
        </w:rPr>
        <w:t>group»</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la </w:t>
      </w:r>
      <w:proofErr w:type="spellStart"/>
      <w:r w:rsidR="002E10CE" w:rsidRPr="002E10CE">
        <w:rPr>
          <w:rFonts w:ascii="Rotis Sans Serif Std" w:hAnsi="Rotis Sans Serif Std" w:cs="ArialMT"/>
          <w:i/>
          <w:lang w:val="es-ES"/>
        </w:rPr>
        <w:t>Action</w:t>
      </w:r>
      <w:proofErr w:type="spellEnd"/>
      <w:r w:rsidRPr="005139CF">
        <w:rPr>
          <w:rFonts w:ascii="Rotis Sans Serif Std" w:hAnsi="Rotis Sans Serif Std" w:cs="ArialMT"/>
          <w:lang w:val="es-ES"/>
        </w:rPr>
        <w:t xml:space="preserve">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públicos</w:t>
      </w:r>
    </w:p>
    <w:p w:rsidR="00C32D49"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privados</w:t>
      </w:r>
    </w:p>
    <w:p w:rsidR="005139CF" w:rsidRDefault="008B39F1" w:rsidP="00502C1F">
      <w:pPr>
        <w:pStyle w:val="Prrafodelista"/>
        <w:numPr>
          <w:ilvl w:val="1"/>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Bases de datos SQL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lastRenderedPageBreak/>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E85" w:rsidRDefault="00C82E85">
      <w:r>
        <w:separator/>
      </w:r>
    </w:p>
  </w:endnote>
  <w:endnote w:type="continuationSeparator" w:id="0">
    <w:p w:rsidR="00C82E85" w:rsidRDefault="00C8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E85" w:rsidRDefault="00C82E85">
      <w:r>
        <w:separator/>
      </w:r>
    </w:p>
  </w:footnote>
  <w:footnote w:type="continuationSeparator" w:id="0">
    <w:p w:rsidR="00C82E85" w:rsidRDefault="00C82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908DB"/>
    <w:rsid w:val="001F54BA"/>
    <w:rsid w:val="002427E2"/>
    <w:rsid w:val="00281477"/>
    <w:rsid w:val="00285DD3"/>
    <w:rsid w:val="00295948"/>
    <w:rsid w:val="00297CC4"/>
    <w:rsid w:val="002A7D49"/>
    <w:rsid w:val="002D7A90"/>
    <w:rsid w:val="002D7D56"/>
    <w:rsid w:val="002E10CE"/>
    <w:rsid w:val="00323085"/>
    <w:rsid w:val="00381B43"/>
    <w:rsid w:val="00386299"/>
    <w:rsid w:val="003B3ED3"/>
    <w:rsid w:val="003B471E"/>
    <w:rsid w:val="003B6C3D"/>
    <w:rsid w:val="004034D4"/>
    <w:rsid w:val="00405AEF"/>
    <w:rsid w:val="004773CA"/>
    <w:rsid w:val="004A3FD7"/>
    <w:rsid w:val="004B0688"/>
    <w:rsid w:val="004E5274"/>
    <w:rsid w:val="004E5AE7"/>
    <w:rsid w:val="00502C1F"/>
    <w:rsid w:val="005139CF"/>
    <w:rsid w:val="00586B59"/>
    <w:rsid w:val="005D34F2"/>
    <w:rsid w:val="005E642D"/>
    <w:rsid w:val="005F3930"/>
    <w:rsid w:val="005F44EF"/>
    <w:rsid w:val="0061789D"/>
    <w:rsid w:val="00621B38"/>
    <w:rsid w:val="006305FB"/>
    <w:rsid w:val="006411E9"/>
    <w:rsid w:val="0069549B"/>
    <w:rsid w:val="006B47C0"/>
    <w:rsid w:val="00753735"/>
    <w:rsid w:val="00791D0B"/>
    <w:rsid w:val="007B3A23"/>
    <w:rsid w:val="0083422E"/>
    <w:rsid w:val="00837F8E"/>
    <w:rsid w:val="008B39F1"/>
    <w:rsid w:val="008B6CC4"/>
    <w:rsid w:val="008E20ED"/>
    <w:rsid w:val="008E27AE"/>
    <w:rsid w:val="00925539"/>
    <w:rsid w:val="0099015E"/>
    <w:rsid w:val="009C24B3"/>
    <w:rsid w:val="009D210A"/>
    <w:rsid w:val="009E0447"/>
    <w:rsid w:val="00A26992"/>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32D49"/>
    <w:rsid w:val="00C44480"/>
    <w:rsid w:val="00C80D12"/>
    <w:rsid w:val="00C82E85"/>
    <w:rsid w:val="00CA733B"/>
    <w:rsid w:val="00CB2377"/>
    <w:rsid w:val="00CE7D54"/>
    <w:rsid w:val="00CF1EE5"/>
    <w:rsid w:val="00CF550F"/>
    <w:rsid w:val="00D15850"/>
    <w:rsid w:val="00D222E2"/>
    <w:rsid w:val="00D61D16"/>
    <w:rsid w:val="00D74B12"/>
    <w:rsid w:val="00D9473C"/>
    <w:rsid w:val="00E246CA"/>
    <w:rsid w:val="00EA2CB0"/>
    <w:rsid w:val="00ED2B75"/>
    <w:rsid w:val="00EE75FF"/>
    <w:rsid w:val="00EF7732"/>
    <w:rsid w:val="00F00D97"/>
    <w:rsid w:val="00F314FB"/>
    <w:rsid w:val="00F356AD"/>
    <w:rsid w:val="00F36CC1"/>
    <w:rsid w:val="00F803EA"/>
    <w:rsid w:val="00FA1250"/>
    <w:rsid w:val="00FA4FA9"/>
    <w:rsid w:val="00FB0BB2"/>
    <w:rsid w:val="00FD4F23"/>
    <w:rsid w:val="00FE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4752</TotalTime>
  <Pages>5</Pages>
  <Words>863</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28</cp:revision>
  <cp:lastPrinted>2016-03-30T01:31:00Z</cp:lastPrinted>
  <dcterms:created xsi:type="dcterms:W3CDTF">2016-03-26T12:03:00Z</dcterms:created>
  <dcterms:modified xsi:type="dcterms:W3CDTF">2016-04-21T16:39:00Z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