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98EC" w14:textId="77777777" w:rsidR="00A0090D" w:rsidRDefault="00941742">
      <w:pPr>
        <w:spacing w:after="200"/>
        <w:jc w:val="center"/>
      </w:pPr>
      <w:r>
        <w:rPr>
          <w:b/>
          <w:bCs/>
          <w:color w:val="1F3864"/>
          <w:sz w:val="32"/>
          <w:szCs w:val="32"/>
        </w:rPr>
        <w:t>From Toolkit to Terrain: Explainable AI in Healthcare, Finance, Manufacturing, and the Public Sector</w:t>
      </w:r>
    </w:p>
    <w:p w14:paraId="68F17CD5" w14:textId="77777777" w:rsidR="00A0090D" w:rsidRDefault="00941742">
      <w:pPr>
        <w:spacing w:after="320"/>
        <w:jc w:val="center"/>
      </w:pPr>
      <w:r>
        <w:rPr>
          <w:i/>
          <w:iCs/>
          <w:color w:val="595959"/>
        </w:rPr>
        <w:t>Session 4 Reading — Artificial Cognition and Explainable AI (5-Day Intensive)</w:t>
      </w:r>
    </w:p>
    <w:p w14:paraId="134EF530" w14:textId="77777777" w:rsidR="00A0090D" w:rsidRDefault="00941742">
      <w:pPr>
        <w:spacing w:before="80" w:after="200"/>
        <w:jc w:val="center"/>
      </w:pPr>
      <w:r>
        <w:rPr>
          <w:color w:val="BFBFBF"/>
          <w:sz w:val="18"/>
          <w:szCs w:val="18"/>
        </w:rPr>
        <w:t>————————————————————————————————————————</w:t>
      </w:r>
    </w:p>
    <w:p w14:paraId="5720E4F0" w14:textId="77777777" w:rsidR="00A0090D" w:rsidRDefault="00941742">
      <w:pPr>
        <w:pStyle w:val="Heading1"/>
        <w:spacing w:before="280" w:after="160"/>
      </w:pPr>
      <w:r>
        <w:t>Abstract</w:t>
      </w:r>
    </w:p>
    <w:p w14:paraId="23FBB55D" w14:textId="77777777" w:rsidR="00A0090D" w:rsidRDefault="00941742">
      <w:pPr>
        <w:spacing w:after="160" w:line="300" w:lineRule="auto"/>
        <w:jc w:val="both"/>
      </w:pPr>
      <w:r>
        <w:t>Session 3 introduced four explanation techniques as a toolkit. This reading takes the toolkit into the field. It walks through four sectors where AI is now routinely deployed in decisions affecting human lives — healthcare, finance, manufacturing and autonomous systems, and the public sector — and asks what XAI looks like in practice, what regulators require, and what has gone wrong when explanations were inadequate or absent. The reading examines the IBM Watson for Oncology debacle and the Epic Sepsis Mode</w:t>
      </w:r>
      <w:r>
        <w:t xml:space="preserve">l audit in healthcare; the Apple Card investigation and the EU AI Act’s classification of credit-scoring as high-risk in finance; the 2018 Tempe pedestrian fatality and ISO 26262/21448 safety arguments in autonomous systems; and the Dutch SyRI ruling, the Australian </w:t>
      </w:r>
      <w:proofErr w:type="spellStart"/>
      <w:r>
        <w:t>Robodebt</w:t>
      </w:r>
      <w:proofErr w:type="spellEnd"/>
      <w:r>
        <w:t xml:space="preserve"> Royal Commission, and the contested practice of AI-driven résumé screening in the public sector and HR. From these cases the reading derives a cross-sector pattern: validation criteria that work, governance arrangements that catch failu</w:t>
      </w:r>
      <w:r>
        <w:t>res before they cause harm, and the human-AI collaboration topologies — in-the-loop, on-the-loop, off-the-loop — that make explanations actionable. The aim is not a sector taxonomy but a working sense of how XAI succeeds and fails in deployment.</w:t>
      </w:r>
    </w:p>
    <w:p w14:paraId="0A697306" w14:textId="77777777" w:rsidR="00A0090D" w:rsidRDefault="00941742">
      <w:pPr>
        <w:spacing w:after="160" w:line="300" w:lineRule="auto"/>
        <w:jc w:val="both"/>
      </w:pPr>
      <w:r>
        <w:rPr>
          <w:b/>
          <w:bCs/>
        </w:rPr>
        <w:t xml:space="preserve">Keywords: </w:t>
      </w:r>
      <w:r>
        <w:t>high-risk AI; algorithmic accountability; clinical decision support; autonomous systems; human-AI collaboration</w:t>
      </w:r>
    </w:p>
    <w:p w14:paraId="0A6E768A" w14:textId="77777777" w:rsidR="00A0090D" w:rsidRDefault="00941742">
      <w:pPr>
        <w:spacing w:before="80" w:after="200"/>
        <w:jc w:val="center"/>
      </w:pPr>
      <w:r>
        <w:rPr>
          <w:color w:val="BFBFBF"/>
          <w:sz w:val="18"/>
          <w:szCs w:val="18"/>
        </w:rPr>
        <w:t>————————————————————————————————————————</w:t>
      </w:r>
    </w:p>
    <w:p w14:paraId="4AC638F1" w14:textId="77777777" w:rsidR="00A0090D" w:rsidRDefault="00941742">
      <w:pPr>
        <w:pStyle w:val="Heading1"/>
        <w:spacing w:before="280" w:after="160"/>
      </w:pPr>
      <w:r>
        <w:t>1. From toolkit to terrain</w:t>
      </w:r>
    </w:p>
    <w:p w14:paraId="318340DB" w14:textId="77777777" w:rsidR="00A0090D" w:rsidRDefault="00941742">
      <w:pPr>
        <w:spacing w:after="160" w:line="300" w:lineRule="auto"/>
        <w:jc w:val="both"/>
      </w:pPr>
      <w:r>
        <w:t>Sessions 2 and 3 treated XAI in the abstract — its concepts, its techniques, the questions each can answer. This reading takes the toolkit out of the workshop and into the world. It walks four sectors where AI is now routinely making, or assisting in, decisions that affect human lives: healthcare, finance, manufacturing and autonomous systems, and the public sector. In each sector we examine a flagship deployment, the regulatory framework that governs it, the public failures from which the sector has learne</w:t>
      </w:r>
      <w:r>
        <w:t xml:space="preserve">d, and the explanation patterns that have emerged. From those cases the reading derives a cross-sector pattern: validation criteria that </w:t>
      </w:r>
      <w:proofErr w:type="gramStart"/>
      <w:r>
        <w:t>actually work</w:t>
      </w:r>
      <w:proofErr w:type="gramEnd"/>
      <w:r>
        <w:t>, governance arrangements that catch failures before they cause harm, and the human-AI collaboration topologies that make explanations actionable.</w:t>
      </w:r>
    </w:p>
    <w:p w14:paraId="135BDA18" w14:textId="77777777" w:rsidR="00A0090D" w:rsidRDefault="00941742">
      <w:pPr>
        <w:spacing w:after="160" w:line="300" w:lineRule="auto"/>
        <w:jc w:val="both"/>
      </w:pPr>
      <w:r>
        <w:t xml:space="preserve">The selection is not exhaustive — AI is now deployed almost everywhere. It is illustrative. The four sectors share three features that matter for the reader: the decisions made are consequential for affected persons; regulatory oversight is active or imminent; and the failure modes of opaque </w:t>
      </w:r>
      <w:r>
        <w:lastRenderedPageBreak/>
        <w:t xml:space="preserve">deployment </w:t>
      </w:r>
      <w:proofErr w:type="gramStart"/>
      <w:r>
        <w:t>are</w:t>
      </w:r>
      <w:proofErr w:type="gramEnd"/>
      <w:r>
        <w:t xml:space="preserve"> well documented. Each section is built around two or three concrete cases the reader can carry into a meeting and use to prompt sharper questions of any vendor, regulator, or compliance officer they encounter.</w:t>
      </w:r>
    </w:p>
    <w:p w14:paraId="45CA779A" w14:textId="77777777" w:rsidR="00A0090D" w:rsidRDefault="00941742">
      <w:pPr>
        <w:pStyle w:val="Heading1"/>
        <w:spacing w:before="280" w:after="160"/>
      </w:pPr>
      <w:r>
        <w:t>2. Healthcare: when the explanation cannot reach the failure</w:t>
      </w:r>
    </w:p>
    <w:p w14:paraId="035B2138" w14:textId="77777777" w:rsidR="00A0090D" w:rsidRDefault="00941742">
      <w:pPr>
        <w:spacing w:after="160" w:line="300" w:lineRule="auto"/>
        <w:jc w:val="both"/>
      </w:pPr>
      <w:r>
        <w:t xml:space="preserve">The most instructive XAI failures in healthcare have been failures of trust calibration: explanations existed, but they could not reveal what was </w:t>
      </w:r>
      <w:proofErr w:type="gramStart"/>
      <w:r>
        <w:t>actually wrong</w:t>
      </w:r>
      <w:proofErr w:type="gramEnd"/>
      <w:r>
        <w:t xml:space="preserve">. IBM’s Watson for Oncology, launched in 2014 with Memorial Sloan Kettering as the flagship training partner, became the dominant example of marketing claims outrunning evidence. </w:t>
      </w:r>
      <w:r>
        <w:rPr>
          <w:i/>
          <w:iCs/>
        </w:rPr>
        <w:t>STAT</w:t>
      </w:r>
      <w:r>
        <w:t>’s 2018 investigation by Casey Ross and Ike Swetlitz, drawing on internal IBM documents, found that the system had been trained largely on a small number of synthetic patient cases written by Memorial Sloan Kettering oncologists, and that in deployments at hospitals including Jupiter Hospital in Florida and clinic</w:t>
      </w:r>
      <w:r>
        <w:t>s in Korea, India, and elsewhere, clinicians were reporting “unsafe and incorrect” treatment recommendations.</w:t>
      </w:r>
      <w:r>
        <w:rPr>
          <w:rStyle w:val="FootnoteReference"/>
        </w:rPr>
        <w:footnoteReference w:id="1"/>
      </w:r>
      <w:r>
        <w:t xml:space="preserve"> The system did produce reasoning artefacts — short statements of which features drove its recommendations — but the underlying training data did not represent the population on which it was deployed, and no explanation interface could reveal this fundamental mismatch. IBM eventually wound down the Watson Health business and divested its assets in 2022.</w:t>
      </w:r>
      <w:r>
        <w:rPr>
          <w:rStyle w:val="FootnoteReference"/>
        </w:rPr>
        <w:footnoteReference w:id="2"/>
      </w:r>
    </w:p>
    <w:p w14:paraId="5A1625C1" w14:textId="77777777" w:rsidR="00A0090D" w:rsidRDefault="00941742">
      <w:pPr>
        <w:spacing w:after="160" w:line="300" w:lineRule="auto"/>
        <w:jc w:val="both"/>
      </w:pPr>
      <w:r>
        <w:t xml:space="preserve">The Epic Sepsis Model (ESM) — a proprietary early-warning system deployed at the time of writing in hundreds of U.S. hospitals — drew comparable scrutiny in 2021. Andrew Wong and colleagues at the University of Michigan published an external validation of the ESM in </w:t>
      </w:r>
      <w:r>
        <w:rPr>
          <w:i/>
          <w:iCs/>
        </w:rPr>
        <w:t>JAMA Internal Medicine</w:t>
      </w:r>
      <w:r>
        <w:t xml:space="preserve"> that found the model identified only 7 percent of patients with sepsis who were missed by clinicians, while generating an alert burden so high that it strained clinician attention.</w:t>
      </w:r>
      <w:r>
        <w:rPr>
          <w:rStyle w:val="FootnoteReference"/>
        </w:rPr>
        <w:footnoteReference w:id="3"/>
      </w:r>
      <w:r>
        <w:t xml:space="preserve"> Epic disputed the methodology, but the case crystallised two failures common across clinical AI deployments: the model was deployed widely without adequate external validation, and its proprietary nature impeded independent audit. The hospitals using the ESM had access to its outputs but not to its internals; XAI tools could be applied only at the periphery of the system.</w:t>
      </w:r>
    </w:p>
    <w:p w14:paraId="1EB330BC" w14:textId="77777777" w:rsidR="00A0090D" w:rsidRDefault="00941742">
      <w:pPr>
        <w:spacing w:after="160" w:line="300" w:lineRule="auto"/>
        <w:jc w:val="both"/>
      </w:pPr>
      <w:r>
        <w:t xml:space="preserve">The regulatory pathway for clinical AI has tightened in response. The U.S. Food and Drug Administration maintains a public list of AI/ML-enabled medical devices it has cleared or approved; by 2025 the list had grown to well over one thousand entries, the majority being </w:t>
      </w:r>
      <w:r>
        <w:lastRenderedPageBreak/>
        <w:t>radiology applications.</w:t>
      </w:r>
      <w:r>
        <w:rPr>
          <w:rStyle w:val="FootnoteReference"/>
        </w:rPr>
        <w:footnoteReference w:id="4"/>
      </w:r>
      <w:r>
        <w:t xml:space="preserve"> The FDA’s evolving guidance, including the 2021 Action Plan and the 2024 update to draft guidance on Predetermined Change Control Plans, increasingly treats interpretability as a clearance prerequisite for systems used in clinical decision support, particularly where the device is “locked” at submission but its training pipeline may continue to ingest new data after deployment. Grad-CAM heatmaps and SHAP feature attributions — the techniques covered in Session 3 — are now routinely included in 510(k) submi</w:t>
      </w:r>
      <w:r>
        <w:t>ssions for radiology AI as part of the device’s technical documentation.</w:t>
      </w:r>
    </w:p>
    <w:p w14:paraId="5B616B0C" w14:textId="77777777" w:rsidR="00A0090D" w:rsidRDefault="00941742">
      <w:pPr>
        <w:spacing w:after="160" w:line="300" w:lineRule="auto"/>
        <w:jc w:val="both"/>
      </w:pPr>
      <w:r>
        <w:t xml:space="preserve">HIPAA does not directly mandate explanation, but its data-protection constraints intersect with XAI in subtle ways. Patient-level explanations may themselves contain protected health information; sharing them across an institutional boundary, for example with a software vendor for audit purposes, can require a Business Associate Agreement. The result is a chilling effect: external auditors cannot always inspect patient-level explanations even when they have a legitimate interest in doing so. The compliance </w:t>
      </w:r>
      <w:r>
        <w:t>officer designing a clinical XAI deployment must hold the explanation interface and its data-protection envelope in view simultaneously.</w:t>
      </w:r>
    </w:p>
    <w:p w14:paraId="43548187" w14:textId="77777777" w:rsidR="00A0090D" w:rsidRDefault="00941742">
      <w:pPr>
        <w:spacing w:after="160" w:line="300" w:lineRule="auto"/>
        <w:jc w:val="both"/>
      </w:pPr>
      <w:r>
        <w:t>The healthcare lesson generalises beyond the sector: an AI system whose training data do not represent its deployment population produces accurate-looking outputs that fail silently. XAI is not a cure for this failure mode, but it is part of the diagnostic apparatus. The first question a compliance officer should ask of any clinical AI deployment is: how does the model behave on patients like ours, and can the explanation interface surface a deviation when it occurs?</w:t>
      </w:r>
    </w:p>
    <w:p w14:paraId="1BF9ED8A" w14:textId="77777777" w:rsidR="00A0090D" w:rsidRDefault="00941742">
      <w:pPr>
        <w:pStyle w:val="Heading1"/>
        <w:spacing w:before="280" w:after="160"/>
      </w:pPr>
      <w:r>
        <w:t>3. Finance: where regulation caught up with deployment</w:t>
      </w:r>
    </w:p>
    <w:p w14:paraId="5E1A8446" w14:textId="77777777" w:rsidR="00A0090D" w:rsidRDefault="00941742">
      <w:pPr>
        <w:spacing w:after="160" w:line="300" w:lineRule="auto"/>
        <w:jc w:val="both"/>
      </w:pPr>
      <w:r>
        <w:t>Credit scoring is the field where regulation has caught up with deployment fastest. The EU AI Act explicitly classifies AI used for “evaluation of the creditworthiness of natural persons” as high-risk under Annex III item 5(b), and lenders deploying ML credit-scoring systems in the EU from 2 August 2026 must produce conformity assessments, technical documentation, post-market monitoring, and clear, meaningful explanations to affected persons under Article 86.</w:t>
      </w:r>
      <w:r>
        <w:rPr>
          <w:rStyle w:val="FootnoteReference"/>
        </w:rPr>
        <w:footnoteReference w:id="5"/>
      </w:r>
      <w:r>
        <w:t xml:space="preserve"> The United States has had analogous requirements for decades under the Equal Credit Opportunity Act (ECOA) and its implementing Regulation B: when a lender takes adverse action on a credit application, the applicant must receive a “statement of specific reasons” identifying the principal factors. Boilerplate text such as “you did not meet our credit standards” is non-compliant.</w:t>
      </w:r>
    </w:p>
    <w:p w14:paraId="3A5153A9" w14:textId="77777777" w:rsidR="00A0090D" w:rsidRDefault="00941742">
      <w:pPr>
        <w:spacing w:after="160" w:line="300" w:lineRule="auto"/>
        <w:jc w:val="both"/>
      </w:pPr>
      <w:r>
        <w:t xml:space="preserve">The Apple Card investigation introduced in Session 2 deserves closer scrutiny here. The New York Department of Financial Services concluded in March 2021 that Goldman Sachs’s </w:t>
      </w:r>
      <w:r>
        <w:lastRenderedPageBreak/>
        <w:t>underwriting did not violate New York fair-lending law on the evidence available, but the report was unusually critical of the bank’s consumer-service handling.</w:t>
      </w:r>
      <w:r>
        <w:rPr>
          <w:rStyle w:val="FootnoteReference"/>
        </w:rPr>
        <w:footnoteReference w:id="6"/>
      </w:r>
      <w:r>
        <w:t xml:space="preserve"> When customers contested credit-limit decisions, Goldman’s front-line staff could not explain them; the bank lacked an internal mechanism for translating model outputs into customer-facing reasons. The DFS observed that this “failure to provide consumer-facing transparency” was itself a regulatory and reputational risk, even where the underlying algorithm was technically defensible. The case is instructive precisely because the bank had a defensible model and an indefensible explanation interface.</w:t>
      </w:r>
    </w:p>
    <w:p w14:paraId="5D035941" w14:textId="77777777" w:rsidR="00A0090D" w:rsidRDefault="00941742">
      <w:pPr>
        <w:spacing w:after="160" w:line="300" w:lineRule="auto"/>
        <w:jc w:val="both"/>
      </w:pPr>
      <w:r>
        <w:t xml:space="preserve">The validation pattern in finance has crystallised around three elements. First, adverse-action reason codes generated for each declined applicant, mapped from SHAP or LIME outputs to a fixed taxonomy of reasons regulators accept (low income, high utilisation, recent inquiries, thin file). Second, disparate-impact testing disaggregated by protected characteristic (race, sex, age, national origin under U.S. fair-lending law; the protected categories under EU equality law), with global SHAP summaries used as </w:t>
      </w:r>
      <w:r>
        <w:t>evidence that the model does not discriminate. Third, counterfactual recourse statements for declined applicants — not yet required by statute in most jurisdictions but increasingly expected by supervisors: what would the applicant need to change to qualify next time?</w:t>
      </w:r>
    </w:p>
    <w:p w14:paraId="6483EACD" w14:textId="77777777" w:rsidR="00A0090D" w:rsidRDefault="00941742">
      <w:pPr>
        <w:spacing w:after="160" w:line="300" w:lineRule="auto"/>
        <w:jc w:val="both"/>
      </w:pPr>
      <w:r>
        <w:t xml:space="preserve">The boundary cases reveal the limits. Model-based credit scoring can offer reasons; it cannot always offer reasons the applicant can act on. “Your file is too thin” tells an applicant nothing about how to thicken it. The compliance officer designing a credit XAI interface must coordinate with consumer-facing staff to translate model attributions into action paths the applicant can </w:t>
      </w:r>
      <w:proofErr w:type="gramStart"/>
      <w:r>
        <w:t>actually walk</w:t>
      </w:r>
      <w:proofErr w:type="gramEnd"/>
      <w:r>
        <w:t>. The technical XAI tool is a precondition for compliance; the institutional process around it is what determines whether compliance is real.</w:t>
      </w:r>
    </w:p>
    <w:p w14:paraId="33D3B2A9" w14:textId="77777777" w:rsidR="00A0090D" w:rsidRDefault="00941742">
      <w:pPr>
        <w:pStyle w:val="Heading1"/>
        <w:spacing w:before="280" w:after="160"/>
      </w:pPr>
      <w:r>
        <w:t>4. Manufacturing and autonomous systems: from sensor logs to assurance cases</w:t>
      </w:r>
    </w:p>
    <w:p w14:paraId="5B79BE5B" w14:textId="77777777" w:rsidR="00A0090D" w:rsidRDefault="00941742">
      <w:pPr>
        <w:spacing w:after="160" w:line="300" w:lineRule="auto"/>
        <w:jc w:val="both"/>
      </w:pPr>
      <w:r>
        <w:t>Manufacturing is where XAI looks most like its conventional engineering self. Predictive maintenance — the use of ML on sensor data to forecast component failures — has been deployed across heavy industry for over a decade. The explanation interfaces are global: SHAP summary plots showing which sensors most predict failure across the fleet; partial-dependence plots showing how sensor readings translate into risk scores. Few individual rights are at stake; the audience is the engineer; the failure cost is do</w:t>
      </w:r>
      <w:r>
        <w:t>wntime or, more rarely, a damaged piece of equipment. XAI here is closer to the flight-data-recorder analogy of Session 2 than to the recourse-and-contestability framing of finance.</w:t>
      </w:r>
    </w:p>
    <w:p w14:paraId="68889567" w14:textId="77777777" w:rsidR="00A0090D" w:rsidRDefault="00941742">
      <w:pPr>
        <w:spacing w:after="160" w:line="300" w:lineRule="auto"/>
        <w:jc w:val="both"/>
      </w:pPr>
      <w:r>
        <w:lastRenderedPageBreak/>
        <w:t>Autonomous systems are where the engineering stakes meet the human ones. The fatal collision in Tempe, Arizona, on 18 March 2018 — in which an Uber Advanced Technologies Group self-driving Volvo XC90 struck and killed Elaine Herzberg, a pedestrian crossing the road with a bicycle — produced the most thoroughly documented XAI failure in autonomous-vehicle history. The U.S. National Transportation Safety Board’s investigation found that the vehicle’s perception system had detected Ms Herzberg roughly six seco</w:t>
      </w:r>
      <w:r>
        <w:t>nds before impact but had repeatedly reclassified her — first as an unknown object, then as a vehicle, then as a bicycle, then as an unknown object again — and that the system’s emergency-braking function had been suppressed during testing to reduce “erratic vehicle behaviour”.</w:t>
      </w:r>
      <w:r>
        <w:rPr>
          <w:rStyle w:val="FootnoteReference"/>
        </w:rPr>
        <w:footnoteReference w:id="7"/>
      </w:r>
      <w:r>
        <w:t xml:space="preserve"> The vehicle did not warn the safety driver. The reasoning trace — the perception classification log — existed but was inaccessible to the safety driver in real time, and the design choice to suppress alerts was not documented in a way the operator could question. A complete post-hoc explanation was available after Ms Herzberg’s death; no useful in-loop explanation existed before it.</w:t>
      </w:r>
    </w:p>
    <w:p w14:paraId="5AD88348" w14:textId="77777777" w:rsidR="00A0090D" w:rsidRDefault="00941742">
      <w:pPr>
        <w:spacing w:after="160" w:line="300" w:lineRule="auto"/>
        <w:jc w:val="both"/>
      </w:pPr>
      <w:r>
        <w:t>The NTSB findings translated quickly into industry-standard requirements. ISO 26262 (functional safety for road vehicles, in force since 2011 and revised in 2018) and ISO 21448 (Safety of the Intended Functionality, or SOTIF, published in 2019 and revised in 2022) together require demonstrable safety arguments for AI components in road vehicles.</w:t>
      </w:r>
      <w:r>
        <w:rPr>
          <w:rStyle w:val="FootnoteReference"/>
        </w:rPr>
        <w:footnoteReference w:id="8"/>
      </w:r>
      <w:r>
        <w:t xml:space="preserve"> In practice this means producing an </w:t>
      </w:r>
      <w:r>
        <w:rPr>
          <w:i/>
          <w:iCs/>
        </w:rPr>
        <w:t>assurance case</w:t>
      </w:r>
      <w:r>
        <w:t xml:space="preserve"> — a structured argument with linked evidence — that the system has been validated against the relevant operational design domain. XAI tools enter the assurance case in two places: as evidence for the design rationale (a Grad-CAM heatmap showing that an obstacle-detection model attends to the obstacle, not the road texture) and as part of the post-market monitoring loop (when the model fails, can we explain why?). Counterfactual probing appears as an advers</w:t>
      </w:r>
      <w:r>
        <w:t>arial test rather than as a recourse mechanism — what would have to be different about the scene for the model to fail?</w:t>
      </w:r>
    </w:p>
    <w:p w14:paraId="3F314C74" w14:textId="77777777" w:rsidR="00A0090D" w:rsidRDefault="00941742">
      <w:pPr>
        <w:spacing w:after="160" w:line="300" w:lineRule="auto"/>
        <w:jc w:val="both"/>
      </w:pPr>
      <w:r>
        <w:t>The pattern in manufacturing and autonomous systems differs from healthcare and finance in a way the compliance officer should internalise. Affected persons rarely interact directly with the explanation interface; the explanations serve engineers building safety cases for regulators. The XAI artefact most likely to satisfy an ISO 26262 reviewer is not a counterfactual designed for an affected person; it is a structured engineering argument that the model has been validated in its operational design domain a</w:t>
      </w:r>
      <w:r>
        <w:t>nd that its failure modes are characterised. The audience differs; the toolkit is largely the same.</w:t>
      </w:r>
    </w:p>
    <w:p w14:paraId="614EDC2D" w14:textId="77777777" w:rsidR="00A0090D" w:rsidRDefault="00941742">
      <w:pPr>
        <w:pStyle w:val="Heading1"/>
        <w:spacing w:before="280" w:after="160"/>
      </w:pPr>
      <w:r>
        <w:lastRenderedPageBreak/>
        <w:t>5. Public sector and HR: when procedure matters more than technique</w:t>
      </w:r>
    </w:p>
    <w:p w14:paraId="2961829D" w14:textId="77777777" w:rsidR="00A0090D" w:rsidRDefault="00941742">
      <w:pPr>
        <w:spacing w:after="160" w:line="300" w:lineRule="auto"/>
        <w:jc w:val="both"/>
      </w:pPr>
      <w:r>
        <w:t>The public sector is where the consequences of opaque AI are felt most directly by people who have no recourse to alternative providers. Two cases from outside the United States have shaped global thinking, and one Australian case has shaped Australian (and increasingly Commonwealth) jurisprudence.</w:t>
      </w:r>
    </w:p>
    <w:p w14:paraId="1CDC99D4" w14:textId="77777777" w:rsidR="00A0090D" w:rsidRDefault="00941742">
      <w:pPr>
        <w:spacing w:after="160" w:line="300" w:lineRule="auto"/>
        <w:jc w:val="both"/>
      </w:pPr>
      <w:r>
        <w:t xml:space="preserve">The Dutch SyRI </w:t>
      </w:r>
      <w:r>
        <w:rPr>
          <w:i/>
          <w:iCs/>
        </w:rPr>
        <w:t>(</w:t>
      </w:r>
      <w:proofErr w:type="spellStart"/>
      <w:r>
        <w:rPr>
          <w:i/>
          <w:iCs/>
        </w:rPr>
        <w:t>Systeem</w:t>
      </w:r>
      <w:proofErr w:type="spellEnd"/>
      <w:r>
        <w:rPr>
          <w:i/>
          <w:iCs/>
        </w:rPr>
        <w:t xml:space="preserve"> Risico </w:t>
      </w:r>
      <w:proofErr w:type="spellStart"/>
      <w:r>
        <w:rPr>
          <w:i/>
          <w:iCs/>
        </w:rPr>
        <w:t>Indicatie</w:t>
      </w:r>
      <w:proofErr w:type="spellEnd"/>
      <w:r>
        <w:rPr>
          <w:i/>
          <w:iCs/>
        </w:rPr>
        <w:t>)</w:t>
      </w:r>
      <w:r>
        <w:t xml:space="preserve"> ruling of 5 February 2020 is the European landmark. SyRI was an algorithmic system used by the Netherlands government to identify households at elevated risk of welfare fraud, drawing on data linked across multiple government databases. The District Court of The Hague held that the system violated Article 8 of the European Convention on Human Rights — the right to private and family life — because the legislation authorising the system lacked sufficient transparency and proportion</w:t>
      </w:r>
      <w:r>
        <w:t>ality safeguards.</w:t>
      </w:r>
      <w:r>
        <w:rPr>
          <w:rStyle w:val="FootnoteReference"/>
        </w:rPr>
        <w:footnoteReference w:id="9"/>
      </w:r>
      <w:r>
        <w:t xml:space="preserve"> The court did not strike down algorithmic risk assessment as such; it struck down its opaque application without proportionality controls. The judgment has been widely cited as the first European court ruling to halt a state algorithmic system on transparency grounds.</w:t>
      </w:r>
    </w:p>
    <w:p w14:paraId="560616DB" w14:textId="77777777" w:rsidR="00A0090D" w:rsidRDefault="00941742">
      <w:pPr>
        <w:spacing w:after="160" w:line="300" w:lineRule="auto"/>
        <w:jc w:val="both"/>
      </w:pPr>
      <w:r>
        <w:t xml:space="preserve">The Australian </w:t>
      </w:r>
      <w:proofErr w:type="spellStart"/>
      <w:r>
        <w:rPr>
          <w:i/>
          <w:iCs/>
        </w:rPr>
        <w:t>Robodebt</w:t>
      </w:r>
      <w:proofErr w:type="spellEnd"/>
      <w:r>
        <w:t xml:space="preserve"> case is the more devastating recent example. From 2015 to 2019, the Australian Department of Human Services issued automated debt notices to social-security recipients, using a system that compared Australian Tax Office income data with Centrelink benefit records and “averaged” the income across reporting periods to construct a putative debt. The system issued approximately 470,000 unlawful debt notices, and several recipients took their own lives under the financial and psychological pressure of d</w:t>
      </w:r>
      <w:r>
        <w:t xml:space="preserve">ebts they could not understand or contest. The Royal Commission into the </w:t>
      </w:r>
      <w:proofErr w:type="spellStart"/>
      <w:r>
        <w:t>Robodebt</w:t>
      </w:r>
      <w:proofErr w:type="spellEnd"/>
      <w:r>
        <w:t xml:space="preserve"> Scheme, chaired by Catherine Holmes AC SC, delivered its Final Report on 7 July 2023. The Commission found that the income-averaging method was unlawful from the outset; that successive ministers and senior officials had been warned of the legal flaws and ignored those warnings; and that the affected persons had been systematically denied the procedural fairness — including a clear explanation of the basis of the debt and mean</w:t>
      </w:r>
      <w:r>
        <w:t>ingful avenues for review — that Australian administrative law required.</w:t>
      </w:r>
      <w:r>
        <w:rPr>
          <w:rStyle w:val="FootnoteReference"/>
        </w:rPr>
        <w:footnoteReference w:id="10"/>
      </w:r>
      <w:r>
        <w:t xml:space="preserve"> The Commonwealth has paid more than $1.8 billion in refunds and settlements, and a number of officials have been referred for civil and disciplinary action.</w:t>
      </w:r>
    </w:p>
    <w:p w14:paraId="42A7BC48" w14:textId="77777777" w:rsidR="00A0090D" w:rsidRDefault="00941742">
      <w:pPr>
        <w:spacing w:after="160" w:line="300" w:lineRule="auto"/>
        <w:jc w:val="both"/>
      </w:pPr>
      <w:r>
        <w:t xml:space="preserve">The lesson </w:t>
      </w:r>
      <w:proofErr w:type="spellStart"/>
      <w:r>
        <w:t>Robodebt</w:t>
      </w:r>
      <w:proofErr w:type="spellEnd"/>
      <w:r>
        <w:t xml:space="preserve"> crystallised is that an explanation interface is not a substitute for procedural fairness. Affected persons received debt notices that listed numbers but did not explain the income-averaging method, did not specify how to contest the calculation, and were directed to a contact centre staffed by people who could not themselves explain the system. The XAI failure </w:t>
      </w:r>
      <w:r>
        <w:lastRenderedPageBreak/>
        <w:t xml:space="preserve">here was not technical — the underlying calculation was simple — but architectural: the institution did not build an explanation interface </w:t>
      </w:r>
      <w:r>
        <w:t>designed to enable contestation. The technical interpretability of the algorithm was not the issue; the institutional design was.</w:t>
      </w:r>
    </w:p>
    <w:p w14:paraId="37EEDF23" w14:textId="77777777" w:rsidR="00A0090D" w:rsidRDefault="00941742">
      <w:pPr>
        <w:spacing w:after="160" w:line="300" w:lineRule="auto"/>
        <w:jc w:val="both"/>
      </w:pPr>
      <w:r>
        <w:t>HR is the third public-facing sector where XAI deployment has been contested. The Amazon recruiter case from Session 1 — the system that learned to penalise résumés mentioning “women’s” activities — was withdrawn before deployment, but successor systems are in widespread use. Manish Raghavan and colleagues’ 2020 audit of commercial hiring-AI vendors found that most published no validation studies, used proxies for protected characteristics in ways that could not be inspected by external auditors, and provid</w:t>
      </w:r>
      <w:r>
        <w:t>ed employer-facing explanation interfaces that obscured rather than revealed model behaviour.</w:t>
      </w:r>
      <w:r>
        <w:rPr>
          <w:rStyle w:val="FootnoteReference"/>
        </w:rPr>
        <w:footnoteReference w:id="11"/>
      </w:r>
      <w:r>
        <w:t xml:space="preserve"> </w:t>
      </w:r>
      <w:proofErr w:type="spellStart"/>
      <w:r>
        <w:t>HireVue</w:t>
      </w:r>
      <w:proofErr w:type="spellEnd"/>
      <w:r>
        <w:t>, one of the most prominent vendors, dropped its facial-analysis feature in 2021 under regulatory pressure, although comparable methods continue to be used by other commercial systems.</w:t>
      </w:r>
    </w:p>
    <w:p w14:paraId="61F31868" w14:textId="77777777" w:rsidR="00A0090D" w:rsidRDefault="00941742">
      <w:pPr>
        <w:spacing w:after="160" w:line="300" w:lineRule="auto"/>
        <w:jc w:val="both"/>
      </w:pPr>
      <w:r>
        <w:t>Sectoral regulation has caught up here too. The Illinois Artificial Intelligence Video Interview Act, effective 1 January 2020, requires employer disclosure when AI is used in video interviews; New York City’s Local Law 144 of 2021, enforced from 5 July 2023, requires bias audits and disclosure for automated employment decisions; the EU AI Act classifies AI used for “recruitment or selection of natural persons” as high-risk under Annex III item 4(a).</w:t>
      </w:r>
      <w:r>
        <w:rPr>
          <w:rStyle w:val="FootnoteReference"/>
        </w:rPr>
        <w:footnoteReference w:id="12"/>
      </w:r>
      <w:r>
        <w:t xml:space="preserve"> The pattern across public-sector and HR XAI is that the failure mode is not insufficient technical interpretability but insufficient procedural design. The model can be explained; the institution does not produce a process by which the affected person can use the explanation. </w:t>
      </w:r>
      <w:r>
        <w:rPr>
          <w:i/>
          <w:iCs/>
        </w:rPr>
        <w:t>Multi-level explanations</w:t>
      </w:r>
      <w:r>
        <w:t xml:space="preserve"> — short, plain-language reason-statements for affected persons, technical reasoning traces for caseworkers, full model documentation for auditors — are emerging as a standard pattern.</w:t>
      </w:r>
    </w:p>
    <w:p w14:paraId="45FC2DB0" w14:textId="77777777" w:rsidR="00A0090D" w:rsidRDefault="00941742">
      <w:pPr>
        <w:pStyle w:val="Heading1"/>
        <w:spacing w:before="280" w:after="160"/>
      </w:pPr>
      <w:r>
        <w:t>6. Cross-sector validation criteria</w:t>
      </w:r>
    </w:p>
    <w:p w14:paraId="7671A5F5" w14:textId="77777777" w:rsidR="00A0090D" w:rsidRDefault="00941742">
      <w:pPr>
        <w:spacing w:after="160" w:line="300" w:lineRule="auto"/>
        <w:jc w:val="both"/>
      </w:pPr>
      <w:r>
        <w:t>Reading across the four sectors, a small set of validation criteria has emerged as a convergent answer to the question, “what does good look like?” Five criteria recur across healthcare, finance, manufacturing, and the public sector, and they form a checklist any compliance officer can apply.</w:t>
      </w:r>
    </w:p>
    <w:p w14:paraId="00F88CDD" w14:textId="77777777" w:rsidR="00A0090D" w:rsidRDefault="00941742">
      <w:pPr>
        <w:spacing w:after="160" w:line="300" w:lineRule="auto"/>
        <w:jc w:val="both"/>
      </w:pPr>
      <w:r>
        <w:t xml:space="preserve">The first is </w:t>
      </w:r>
      <w:r>
        <w:rPr>
          <w:b/>
          <w:bCs/>
        </w:rPr>
        <w:t>population representation</w:t>
      </w:r>
      <w:r>
        <w:t>: does the training data resemble the deployment population? Watson for Oncology failed on this dimension. The diagnostic is straightforward — disaggregate model performance by relevant subpopulations and compare against training-data demographics — and SHAP summary plots disaggregated by subgroup are the standard XAI artefact.</w:t>
      </w:r>
    </w:p>
    <w:p w14:paraId="5A409A47" w14:textId="77777777" w:rsidR="00A0090D" w:rsidRDefault="00941742">
      <w:pPr>
        <w:spacing w:after="160" w:line="300" w:lineRule="auto"/>
        <w:jc w:val="both"/>
      </w:pPr>
      <w:r>
        <w:lastRenderedPageBreak/>
        <w:t xml:space="preserve">The second is </w:t>
      </w:r>
      <w:r>
        <w:rPr>
          <w:b/>
          <w:bCs/>
        </w:rPr>
        <w:t>stability under realistic perturbation</w:t>
      </w:r>
      <w:r>
        <w:t>: does the model produce consistent explanations on slightly varied inputs? The disagreement problem from Session 3 applies here in deployment: an explanation interface that produces different reasons for two near-identical credit applications fails to satisfy any audience.</w:t>
      </w:r>
    </w:p>
    <w:p w14:paraId="7B6B8522" w14:textId="77777777" w:rsidR="00A0090D" w:rsidRDefault="00941742">
      <w:pPr>
        <w:spacing w:after="160" w:line="300" w:lineRule="auto"/>
        <w:jc w:val="both"/>
      </w:pPr>
      <w:r>
        <w:t xml:space="preserve">The third is </w:t>
      </w:r>
      <w:r>
        <w:rPr>
          <w:b/>
          <w:bCs/>
        </w:rPr>
        <w:t>adversarial robustness of the explanation itself</w:t>
      </w:r>
      <w:r>
        <w:t xml:space="preserve">: can the explanation be gamed? The Slack et al. result from Session 2 — that LIME and SHAP can be deliberately fooled by </w:t>
      </w:r>
      <w:proofErr w:type="spellStart"/>
      <w:r>
        <w:t>adversarially</w:t>
      </w:r>
      <w:proofErr w:type="spellEnd"/>
      <w:r>
        <w:t xml:space="preserve"> constructed models — is a deployment risk, not a theoretical curiosity.</w:t>
      </w:r>
      <w:r>
        <w:rPr>
          <w:rStyle w:val="FootnoteReference"/>
        </w:rPr>
        <w:footnoteReference w:id="13"/>
      </w:r>
      <w:r>
        <w:t xml:space="preserve"> Independent audit with adversarial probing is the standard countermeasure.</w:t>
      </w:r>
    </w:p>
    <w:p w14:paraId="66DF71DE" w14:textId="77777777" w:rsidR="00A0090D" w:rsidRDefault="00941742">
      <w:pPr>
        <w:spacing w:after="160" w:line="300" w:lineRule="auto"/>
        <w:jc w:val="both"/>
      </w:pPr>
      <w:r>
        <w:t xml:space="preserve">The fourth is </w:t>
      </w:r>
      <w:r>
        <w:rPr>
          <w:b/>
          <w:bCs/>
        </w:rPr>
        <w:t>comprehension by the nominal audience</w:t>
      </w:r>
      <w:r>
        <w:t xml:space="preserve">: does the affected person, the regulator, or the engineer </w:t>
      </w:r>
      <w:proofErr w:type="gramStart"/>
      <w:r>
        <w:t>actually understand</w:t>
      </w:r>
      <w:proofErr w:type="gramEnd"/>
      <w:r>
        <w:t xml:space="preserve"> the explanation they have been given? Bhatt and colleagues’ finding from Session 3 — that XAI outputs are mostly consumed by their producers and not by the audiences they nominally serve — is a deployment failure even when each individual XAI artefact is well constructed.</w:t>
      </w:r>
      <w:r>
        <w:rPr>
          <w:rStyle w:val="FootnoteReference"/>
        </w:rPr>
        <w:footnoteReference w:id="14"/>
      </w:r>
    </w:p>
    <w:p w14:paraId="2520500E" w14:textId="77777777" w:rsidR="00A0090D" w:rsidRDefault="00941742">
      <w:pPr>
        <w:spacing w:after="160" w:line="300" w:lineRule="auto"/>
        <w:jc w:val="both"/>
      </w:pPr>
      <w:r>
        <w:t xml:space="preserve">The fifth is </w:t>
      </w:r>
      <w:r>
        <w:rPr>
          <w:b/>
          <w:bCs/>
        </w:rPr>
        <w:t>procedural fitness</w:t>
      </w:r>
      <w:r>
        <w:t xml:space="preserve">: is there an institutional process by which the affected person can </w:t>
      </w:r>
      <w:proofErr w:type="gramStart"/>
      <w:r>
        <w:t>actually use</w:t>
      </w:r>
      <w:proofErr w:type="gramEnd"/>
      <w:r>
        <w:t xml:space="preserve"> the explanation? </w:t>
      </w:r>
      <w:proofErr w:type="spellStart"/>
      <w:r>
        <w:t>Robodebt</w:t>
      </w:r>
      <w:proofErr w:type="spellEnd"/>
      <w:r>
        <w:t xml:space="preserve"> failed here; SyRI failed here; Apple Card’s customer-service handling failed here. An explanation interface without a contestability process is not a deployed XAI system; it is a documentation 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090D" w14:paraId="55AED5A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25A92087" w14:textId="42152F32" w:rsidR="007106B5" w:rsidRDefault="007106B5">
            <w:pPr>
              <w:spacing w:line="280" w:lineRule="auto"/>
              <w:rPr>
                <w:i/>
                <w:iCs/>
                <w:sz w:val="20"/>
                <w:szCs w:val="20"/>
              </w:rPr>
            </w:pPr>
            <w:r w:rsidRPr="007106B5">
              <w:rPr>
                <w:i/>
                <w:iCs/>
                <w:sz w:val="20"/>
                <w:szCs w:val="20"/>
                <w:highlight w:val="yellow"/>
              </w:rPr>
              <w:t>= to be done by participants =</w:t>
            </w:r>
          </w:p>
          <w:p w14:paraId="63ABECF8" w14:textId="132C4D96" w:rsidR="00A0090D" w:rsidRDefault="00941742">
            <w:pPr>
              <w:spacing w:line="280" w:lineRule="auto"/>
            </w:pPr>
            <w:r>
              <w:rPr>
                <w:i/>
                <w:iCs/>
                <w:sz w:val="20"/>
                <w:szCs w:val="20"/>
              </w:rPr>
              <w:t xml:space="preserve">Figure 1. Five cross-sector validation criteria for deployed XAI. A pentagon diagram with five labelled vertices: Population Representation, Stability, Adversarial Robustness, Comprehension, Procedural Fitness. Each vertex is annotated with the case study where its failure is most clearly illustrated: Watson for Oncology (population), the disagreement problem in finance (stability), Slack et al. fooling LIME/SHAP (adversarial robustness), Bhatt et al. deployment survey (comprehension), </w:t>
            </w:r>
            <w:proofErr w:type="spellStart"/>
            <w:r>
              <w:rPr>
                <w:i/>
                <w:iCs/>
                <w:sz w:val="20"/>
                <w:szCs w:val="20"/>
              </w:rPr>
              <w:t>Robodebt</w:t>
            </w:r>
            <w:proofErr w:type="spellEnd"/>
            <w:r>
              <w:rPr>
                <w:i/>
                <w:iCs/>
                <w:sz w:val="20"/>
                <w:szCs w:val="20"/>
              </w:rPr>
              <w:t xml:space="preserve"> and SyRI (procedural fitness). A dotted circle in the centre is labelled “Deployed XAI is the intersection.” The figure communicates that all five criteria must hold for the explanation to be doing its work — failure on any single dimension undermines the others.</w:t>
            </w:r>
          </w:p>
        </w:tc>
      </w:tr>
    </w:tbl>
    <w:p w14:paraId="2F479FFE" w14:textId="77777777" w:rsidR="00A0090D" w:rsidRDefault="00941742">
      <w:pPr>
        <w:spacing w:before="240" w:after="100"/>
      </w:pPr>
      <w:r>
        <w:rPr>
          <w:i/>
          <w:iCs/>
          <w:sz w:val="20"/>
          <w:szCs w:val="20"/>
        </w:rPr>
        <w:t>Table 1. Four sectors, four flagship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400"/>
        <w:gridCol w:w="3260"/>
      </w:tblGrid>
      <w:tr w:rsidR="00A0090D" w14:paraId="1E82A361" w14:textId="77777777">
        <w:tblPrEx>
          <w:tblCellMar>
            <w:top w:w="0" w:type="dxa"/>
            <w:bottom w:w="0" w:type="dxa"/>
          </w:tblCellMar>
        </w:tblPrEx>
        <w:trPr>
          <w:cantSplit/>
          <w:tblHeader/>
        </w:trPr>
        <w:tc>
          <w:tcPr>
            <w:tcW w:w="16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69D1A6D1" w14:textId="77777777" w:rsidR="00A0090D" w:rsidRDefault="00941742">
            <w:pPr>
              <w:spacing w:line="260" w:lineRule="auto"/>
            </w:pPr>
            <w:r>
              <w:rPr>
                <w:b/>
                <w:bCs/>
                <w:sz w:val="18"/>
                <w:szCs w:val="18"/>
              </w:rPr>
              <w:t>Sector</w:t>
            </w:r>
          </w:p>
        </w:tc>
        <w:tc>
          <w:tcPr>
            <w:tcW w:w="21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2AF98E12" w14:textId="77777777" w:rsidR="00A0090D" w:rsidRDefault="00941742">
            <w:pPr>
              <w:spacing w:line="260" w:lineRule="auto"/>
            </w:pPr>
            <w:r>
              <w:rPr>
                <w:b/>
                <w:bCs/>
                <w:sz w:val="18"/>
                <w:szCs w:val="18"/>
              </w:rPr>
              <w:t>Flagship case</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2CC22D4" w14:textId="77777777" w:rsidR="00A0090D" w:rsidRDefault="00941742">
            <w:pPr>
              <w:spacing w:line="260" w:lineRule="auto"/>
            </w:pPr>
            <w:r>
              <w:rPr>
                <w:b/>
                <w:bCs/>
                <w:sz w:val="18"/>
                <w:szCs w:val="18"/>
              </w:rPr>
              <w:t>Primary regulatory frame</w:t>
            </w:r>
          </w:p>
        </w:tc>
        <w:tc>
          <w:tcPr>
            <w:tcW w:w="32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2C60F423" w14:textId="77777777" w:rsidR="00A0090D" w:rsidRDefault="00941742">
            <w:pPr>
              <w:spacing w:line="260" w:lineRule="auto"/>
            </w:pPr>
            <w:r>
              <w:rPr>
                <w:b/>
                <w:bCs/>
                <w:sz w:val="18"/>
                <w:szCs w:val="18"/>
              </w:rPr>
              <w:t>Characteristic XAI artefact</w:t>
            </w:r>
          </w:p>
        </w:tc>
      </w:tr>
      <w:tr w:rsidR="00A0090D" w14:paraId="4F28FBE7" w14:textId="77777777">
        <w:tblPrEx>
          <w:tblCellMar>
            <w:top w:w="0" w:type="dxa"/>
            <w:bottom w:w="0" w:type="dxa"/>
          </w:tblCellMar>
        </w:tblPrEx>
        <w:trPr>
          <w:cantSplit/>
        </w:trPr>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4C290B7" w14:textId="77777777" w:rsidR="00A0090D" w:rsidRDefault="00941742">
            <w:pPr>
              <w:spacing w:line="260" w:lineRule="auto"/>
            </w:pPr>
            <w:r>
              <w:rPr>
                <w:b/>
                <w:bCs/>
                <w:sz w:val="18"/>
                <w:szCs w:val="18"/>
              </w:rPr>
              <w:t>Healthcare</w:t>
            </w:r>
          </w:p>
        </w:tc>
        <w:tc>
          <w:tcPr>
            <w:tcW w:w="2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736731B" w14:textId="77777777" w:rsidR="00A0090D" w:rsidRDefault="00941742">
            <w:pPr>
              <w:spacing w:line="260" w:lineRule="auto"/>
            </w:pPr>
            <w:r>
              <w:rPr>
                <w:sz w:val="18"/>
                <w:szCs w:val="18"/>
              </w:rPr>
              <w:t>Watson for Oncology (2018); Epic Sepsis Model (2021)</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EEA963E" w14:textId="77777777" w:rsidR="00A0090D" w:rsidRDefault="00941742">
            <w:pPr>
              <w:spacing w:line="260" w:lineRule="auto"/>
            </w:pPr>
            <w:r>
              <w:rPr>
                <w:sz w:val="18"/>
                <w:szCs w:val="18"/>
              </w:rPr>
              <w:t>FDA AI/ML pathway; HIPAA; EU MDR + AI Act</w:t>
            </w:r>
          </w:p>
        </w:tc>
        <w:tc>
          <w:tcPr>
            <w:tcW w:w="3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892B4A6" w14:textId="77777777" w:rsidR="00A0090D" w:rsidRDefault="00941742">
            <w:pPr>
              <w:spacing w:line="260" w:lineRule="auto"/>
            </w:pPr>
            <w:r>
              <w:rPr>
                <w:sz w:val="18"/>
                <w:szCs w:val="18"/>
              </w:rPr>
              <w:t>Grad-CAM heatmaps; subgroup performance reports; 510(k) interpretability evidence</w:t>
            </w:r>
          </w:p>
        </w:tc>
      </w:tr>
      <w:tr w:rsidR="00A0090D" w14:paraId="7C289903" w14:textId="77777777">
        <w:tblPrEx>
          <w:tblCellMar>
            <w:top w:w="0" w:type="dxa"/>
            <w:bottom w:w="0" w:type="dxa"/>
          </w:tblCellMar>
        </w:tblPrEx>
        <w:trPr>
          <w:cantSplit/>
        </w:trPr>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2549E36" w14:textId="77777777" w:rsidR="00A0090D" w:rsidRDefault="00941742">
            <w:pPr>
              <w:spacing w:line="260" w:lineRule="auto"/>
            </w:pPr>
            <w:r>
              <w:rPr>
                <w:b/>
                <w:bCs/>
                <w:sz w:val="18"/>
                <w:szCs w:val="18"/>
              </w:rPr>
              <w:lastRenderedPageBreak/>
              <w:t>Finance</w:t>
            </w:r>
          </w:p>
        </w:tc>
        <w:tc>
          <w:tcPr>
            <w:tcW w:w="2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34680E5" w14:textId="77777777" w:rsidR="00A0090D" w:rsidRDefault="00941742">
            <w:pPr>
              <w:spacing w:line="260" w:lineRule="auto"/>
            </w:pPr>
            <w:r>
              <w:rPr>
                <w:sz w:val="18"/>
                <w:szCs w:val="18"/>
              </w:rPr>
              <w:t>Apple Card / Goldman Sachs (2019–21)</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2CB8DA9" w14:textId="77777777" w:rsidR="00A0090D" w:rsidRDefault="00941742">
            <w:pPr>
              <w:spacing w:line="260" w:lineRule="auto"/>
            </w:pPr>
            <w:r>
              <w:rPr>
                <w:sz w:val="18"/>
                <w:szCs w:val="18"/>
              </w:rPr>
              <w:t>ECOA / Regulation B; FCRA; EU AI Act Annex III 5(b); GDPR Art 22</w:t>
            </w:r>
          </w:p>
        </w:tc>
        <w:tc>
          <w:tcPr>
            <w:tcW w:w="3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6065646" w14:textId="77777777" w:rsidR="00A0090D" w:rsidRDefault="00941742">
            <w:pPr>
              <w:spacing w:line="260" w:lineRule="auto"/>
            </w:pPr>
            <w:r>
              <w:rPr>
                <w:sz w:val="18"/>
                <w:szCs w:val="18"/>
              </w:rPr>
              <w:t>Adverse-action reason codes; disparate-impact summaries; counterfactual recourse</w:t>
            </w:r>
          </w:p>
        </w:tc>
      </w:tr>
      <w:tr w:rsidR="00A0090D" w14:paraId="3A6BE335" w14:textId="77777777">
        <w:tblPrEx>
          <w:tblCellMar>
            <w:top w:w="0" w:type="dxa"/>
            <w:bottom w:w="0" w:type="dxa"/>
          </w:tblCellMar>
        </w:tblPrEx>
        <w:trPr>
          <w:cantSplit/>
        </w:trPr>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C830346" w14:textId="77777777" w:rsidR="00A0090D" w:rsidRDefault="00941742">
            <w:pPr>
              <w:spacing w:line="260" w:lineRule="auto"/>
            </w:pPr>
            <w:r>
              <w:rPr>
                <w:b/>
                <w:bCs/>
                <w:sz w:val="18"/>
                <w:szCs w:val="18"/>
              </w:rPr>
              <w:t>Manufacturing &amp; autonomous systems</w:t>
            </w:r>
          </w:p>
        </w:tc>
        <w:tc>
          <w:tcPr>
            <w:tcW w:w="2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9215F96" w14:textId="77777777" w:rsidR="00A0090D" w:rsidRDefault="00941742">
            <w:pPr>
              <w:spacing w:line="260" w:lineRule="auto"/>
            </w:pPr>
            <w:r>
              <w:rPr>
                <w:sz w:val="18"/>
                <w:szCs w:val="18"/>
              </w:rPr>
              <w:t>Tempe Uber AV fatality (2018)</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05CB816" w14:textId="77777777" w:rsidR="00A0090D" w:rsidRDefault="00941742">
            <w:pPr>
              <w:spacing w:line="260" w:lineRule="auto"/>
            </w:pPr>
            <w:r>
              <w:rPr>
                <w:sz w:val="18"/>
                <w:szCs w:val="18"/>
              </w:rPr>
              <w:t>ISO 26262; ISO 21448 (SOTIF); EU AI Act Annex III 5(a)/(c)</w:t>
            </w:r>
          </w:p>
        </w:tc>
        <w:tc>
          <w:tcPr>
            <w:tcW w:w="3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00EFF7A" w14:textId="77777777" w:rsidR="00A0090D" w:rsidRDefault="00941742">
            <w:pPr>
              <w:spacing w:line="260" w:lineRule="auto"/>
            </w:pPr>
            <w:r>
              <w:rPr>
                <w:sz w:val="18"/>
                <w:szCs w:val="18"/>
              </w:rPr>
              <w:t>Assurance cases; Grad-CAM evidence of attention to obstacles; adversarial scenario probes</w:t>
            </w:r>
          </w:p>
        </w:tc>
      </w:tr>
      <w:tr w:rsidR="00A0090D" w14:paraId="6AF86571" w14:textId="77777777">
        <w:tblPrEx>
          <w:tblCellMar>
            <w:top w:w="0" w:type="dxa"/>
            <w:bottom w:w="0" w:type="dxa"/>
          </w:tblCellMar>
        </w:tblPrEx>
        <w:trPr>
          <w:cantSplit/>
        </w:trPr>
        <w:tc>
          <w:tcPr>
            <w:tcW w:w="16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7F833B5" w14:textId="77777777" w:rsidR="00A0090D" w:rsidRDefault="00941742">
            <w:pPr>
              <w:spacing w:line="260" w:lineRule="auto"/>
            </w:pPr>
            <w:r>
              <w:rPr>
                <w:b/>
                <w:bCs/>
                <w:sz w:val="18"/>
                <w:szCs w:val="18"/>
              </w:rPr>
              <w:t>Public sector &amp; HR</w:t>
            </w:r>
          </w:p>
        </w:tc>
        <w:tc>
          <w:tcPr>
            <w:tcW w:w="21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7E47D38" w14:textId="77777777" w:rsidR="00A0090D" w:rsidRDefault="00941742">
            <w:pPr>
              <w:spacing w:line="260" w:lineRule="auto"/>
            </w:pPr>
            <w:r>
              <w:rPr>
                <w:sz w:val="18"/>
                <w:szCs w:val="18"/>
              </w:rPr>
              <w:t xml:space="preserve">SyRI judgment (NL, 2020); </w:t>
            </w:r>
            <w:proofErr w:type="spellStart"/>
            <w:r>
              <w:rPr>
                <w:sz w:val="18"/>
                <w:szCs w:val="18"/>
              </w:rPr>
              <w:t>Robodebt</w:t>
            </w:r>
            <w:proofErr w:type="spellEnd"/>
            <w:r>
              <w:rPr>
                <w:sz w:val="18"/>
                <w:szCs w:val="18"/>
              </w:rPr>
              <w:t xml:space="preserve"> (AU, 2015–23); Amazon recruiter (2018)</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3A4BEB6" w14:textId="77777777" w:rsidR="00A0090D" w:rsidRDefault="00941742">
            <w:pPr>
              <w:spacing w:line="260" w:lineRule="auto"/>
            </w:pPr>
            <w:r>
              <w:rPr>
                <w:sz w:val="18"/>
                <w:szCs w:val="18"/>
              </w:rPr>
              <w:t>Admin law (procedural fairness); ECHR Art 8; AI Act Annex III 4(a)/6(a); IL AIVIA; NYC LL 144</w:t>
            </w:r>
          </w:p>
        </w:tc>
        <w:tc>
          <w:tcPr>
            <w:tcW w:w="32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2351F24" w14:textId="77777777" w:rsidR="00A0090D" w:rsidRDefault="00941742">
            <w:pPr>
              <w:spacing w:line="260" w:lineRule="auto"/>
            </w:pPr>
            <w:r>
              <w:rPr>
                <w:sz w:val="18"/>
                <w:szCs w:val="18"/>
              </w:rPr>
              <w:t xml:space="preserve">Multi-level explanations: </w:t>
            </w:r>
            <w:proofErr w:type="gramStart"/>
            <w:r>
              <w:rPr>
                <w:sz w:val="18"/>
                <w:szCs w:val="18"/>
              </w:rPr>
              <w:t>plain-language</w:t>
            </w:r>
            <w:proofErr w:type="gramEnd"/>
            <w:r>
              <w:rPr>
                <w:sz w:val="18"/>
                <w:szCs w:val="18"/>
              </w:rPr>
              <w:t xml:space="preserve"> for affected persons, technical for caseworkers, full documentation for auditors</w:t>
            </w:r>
          </w:p>
        </w:tc>
      </w:tr>
    </w:tbl>
    <w:p w14:paraId="56589730" w14:textId="77777777" w:rsidR="00A0090D" w:rsidRDefault="00A0090D">
      <w:pPr>
        <w:spacing w:after="120"/>
      </w:pPr>
    </w:p>
    <w:p w14:paraId="1FACDF16" w14:textId="77777777" w:rsidR="00A0090D" w:rsidRDefault="00941742">
      <w:pPr>
        <w:pStyle w:val="Heading1"/>
        <w:spacing w:before="280" w:after="160"/>
      </w:pPr>
      <w:r>
        <w:t>7. Human-AI collaboration patterns</w:t>
      </w:r>
    </w:p>
    <w:p w14:paraId="45F70FE1" w14:textId="77777777" w:rsidR="00A0090D" w:rsidRDefault="00941742">
      <w:pPr>
        <w:spacing w:after="160" w:line="300" w:lineRule="auto"/>
        <w:jc w:val="both"/>
      </w:pPr>
      <w:r>
        <w:t>The deployment literature has begun to differentiate the topologies of human-AI collaboration that explanations support. Three patterns recur across the four sectors.</w:t>
      </w:r>
    </w:p>
    <w:p w14:paraId="3229101E" w14:textId="77777777" w:rsidR="00A0090D" w:rsidRDefault="00941742">
      <w:pPr>
        <w:spacing w:after="160" w:line="300" w:lineRule="auto"/>
        <w:jc w:val="both"/>
      </w:pPr>
      <w:r>
        <w:rPr>
          <w:b/>
          <w:bCs/>
        </w:rPr>
        <w:t>Human-in-the-loop (HITL)</w:t>
      </w:r>
      <w:r>
        <w:t xml:space="preserve"> systems require human review of each AI output before it is acted on. Clinical decision support fits this pattern naturally: the radiologist reviews the model’s Grad-CAM heatmap; the oncologist reviews the recommendation; the model is an assistant, not a decision-maker. The XAI requirement is </w:t>
      </w:r>
      <w:r>
        <w:rPr>
          <w:i/>
          <w:iCs/>
        </w:rPr>
        <w:t>local</w:t>
      </w:r>
      <w:r>
        <w:t xml:space="preserve"> — each output the reviewer sees must come with an explanation that supports the review.</w:t>
      </w:r>
    </w:p>
    <w:p w14:paraId="6C5C1F85" w14:textId="77777777" w:rsidR="00A0090D" w:rsidRDefault="00941742">
      <w:pPr>
        <w:spacing w:after="160" w:line="300" w:lineRule="auto"/>
        <w:jc w:val="both"/>
      </w:pPr>
      <w:r>
        <w:rPr>
          <w:b/>
          <w:bCs/>
        </w:rPr>
        <w:t>Human-on-the-loop (HOTL)</w:t>
      </w:r>
      <w:r>
        <w:t xml:space="preserve"> systems act autonomously but allow human intervention when the model flags an exception or a monitor detects an anomaly. Predictive maintenance fits the pattern: the model schedules a repair; the engineer can override. Autonomous vehicles with safety drivers fit, although the Tempe case shows the topology can fail when the human’s attention has been habituated away. The XAI requirement is </w:t>
      </w:r>
      <w:r>
        <w:rPr>
          <w:i/>
          <w:iCs/>
        </w:rPr>
        <w:t>aggregate</w:t>
      </w:r>
      <w:r>
        <w:t xml:space="preserve"> — summary dashboards showing the model’s behaviour across the fleet, with alerts on anomalies.</w:t>
      </w:r>
    </w:p>
    <w:p w14:paraId="25321C3E" w14:textId="77777777" w:rsidR="00A0090D" w:rsidRDefault="00941742">
      <w:pPr>
        <w:spacing w:after="160" w:line="300" w:lineRule="auto"/>
        <w:jc w:val="both"/>
      </w:pPr>
      <w:r>
        <w:rPr>
          <w:b/>
          <w:bCs/>
        </w:rPr>
        <w:t>Human-off-the-loop (HOFL)</w:t>
      </w:r>
      <w:r>
        <w:t xml:space="preserve"> systems act autonomously without human oversight on the routine path; humans intervene only after the fact. Algorithmic trading fits, as do </w:t>
      </w:r>
      <w:proofErr w:type="gramStart"/>
      <w:r>
        <w:t>fully-autonomous</w:t>
      </w:r>
      <w:proofErr w:type="gramEnd"/>
      <w:r>
        <w:t xml:space="preserve"> vehicles operating without a safety driver. The XAI requirement is </w:t>
      </w:r>
      <w:r>
        <w:rPr>
          <w:i/>
          <w:iCs/>
        </w:rPr>
        <w:t>forensic</w:t>
      </w:r>
      <w:r>
        <w:t xml:space="preserve"> — explanation artefacts produced after each significant decision and stored for later </w:t>
      </w:r>
      <w:proofErr w:type="gramStart"/>
      <w:r>
        <w:t>audit, but</w:t>
      </w:r>
      <w:proofErr w:type="gramEnd"/>
      <w:r>
        <w:t xml:space="preserve"> not reviewed in real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090D" w14:paraId="4DED063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2FA1D86A" w14:textId="77777777" w:rsidR="007106B5" w:rsidRDefault="007106B5" w:rsidP="007106B5">
            <w:pPr>
              <w:spacing w:line="280" w:lineRule="auto"/>
              <w:rPr>
                <w:i/>
                <w:iCs/>
                <w:sz w:val="20"/>
                <w:szCs w:val="20"/>
              </w:rPr>
            </w:pPr>
            <w:r w:rsidRPr="007106B5">
              <w:rPr>
                <w:i/>
                <w:iCs/>
                <w:sz w:val="20"/>
                <w:szCs w:val="20"/>
                <w:highlight w:val="yellow"/>
              </w:rPr>
              <w:t>= to be done by participants =</w:t>
            </w:r>
          </w:p>
          <w:p w14:paraId="0E7231CC" w14:textId="55CC9C5A" w:rsidR="00A0090D" w:rsidRDefault="00941742">
            <w:pPr>
              <w:spacing w:line="280" w:lineRule="auto"/>
            </w:pPr>
            <w:r>
              <w:rPr>
                <w:i/>
                <w:iCs/>
                <w:sz w:val="20"/>
                <w:szCs w:val="20"/>
              </w:rPr>
              <w:t>Figure 2. Three human-AI collaboration topologies. Three side-by-side schematic panels. (a) Human-in-the-loop: an AI output box on the left feeds into a human-review box on the right; only after review does the decision execute. Annotated example: a radiologist reviewing a Grad-CAM heatmap. (b) Human-on-the-loop: the AI box executes decisions directly along an autonomous loop, with a human-monitor box receiving aggregate dashboards and exception alerts; the human has an override path. Annotated example: a p</w:t>
            </w:r>
            <w:r>
              <w:rPr>
                <w:i/>
                <w:iCs/>
                <w:sz w:val="20"/>
                <w:szCs w:val="20"/>
              </w:rPr>
              <w:t>redictive-maintenance engineer overriding a scheduled repair. (c) Human-off-</w:t>
            </w:r>
            <w:r>
              <w:rPr>
                <w:i/>
                <w:iCs/>
                <w:sz w:val="20"/>
                <w:szCs w:val="20"/>
              </w:rPr>
              <w:lastRenderedPageBreak/>
              <w:t>the-loop: the AI box executes decisions; a forensic-audit box collects explanations for after-the-fact review. Annotated example: post-incident NTSB investigation of an autonomous vehicle. Below the three panels: a row of small risk icons — HITL risks rubber-stamping; HOTL risks alert fatigue; HOFL risks at-scale harm before audit catches it.</w:t>
            </w:r>
          </w:p>
        </w:tc>
      </w:tr>
    </w:tbl>
    <w:p w14:paraId="19148B81" w14:textId="77777777" w:rsidR="00A0090D" w:rsidRDefault="00941742">
      <w:pPr>
        <w:spacing w:after="160" w:line="300" w:lineRule="auto"/>
        <w:jc w:val="both"/>
      </w:pPr>
      <w:r>
        <w:lastRenderedPageBreak/>
        <w:t>Choosing the right pattern matters: HITL has high human cost and is appropriate only where each output is consequential and reviewable; HOTL works where the model is reliable and the human can be alerted to exceptions; HOFL is appropriate only where post-hoc audit is sufficient. The failure modes differ. HITL fails when the human reviewer becomes a rubber-stamp, ratifying the model’s output without genuine engagement. HOTL fails when alerts are too noisy to act on — the Epic Sepsis Model’s alert burden is t</w:t>
      </w:r>
      <w:r>
        <w:t xml:space="preserve">he canonical example. HOFL fails when post-hoc audit reveals harms that have already occurred at scale — </w:t>
      </w:r>
      <w:proofErr w:type="spellStart"/>
      <w:r>
        <w:t>Robodebt</w:t>
      </w:r>
      <w:proofErr w:type="spellEnd"/>
      <w:r>
        <w:t xml:space="preserve"> is the canonical example.</w:t>
      </w:r>
    </w:p>
    <w:p w14:paraId="4438A2B0" w14:textId="77777777" w:rsidR="00A0090D" w:rsidRDefault="00941742">
      <w:pPr>
        <w:spacing w:after="160" w:line="300" w:lineRule="auto"/>
        <w:jc w:val="both"/>
      </w:pPr>
      <w:r>
        <w:t>Gagan Bansal and colleagues’ 2021 study of human-AI collaboration in clinical and reading-comprehension settings found something counterintuitive: providing more explanations sometimes hurt overall team performance because the human reviewer began to trust the model on the wrong cases.</w:t>
      </w:r>
      <w:r>
        <w:rPr>
          <w:rStyle w:val="FootnoteReference"/>
        </w:rPr>
        <w:footnoteReference w:id="15"/>
      </w:r>
      <w:r>
        <w:t xml:space="preserve"> The implication is that the XAI interface must be designed for the topology — not merely “the more explanation, the better.” A well-designed HITL interface highlights cases where the model is likely wrong and the human is likely to catch it; a </w:t>
      </w:r>
      <w:proofErr w:type="gramStart"/>
      <w:r>
        <w:t>poorly-designed</w:t>
      </w:r>
      <w:proofErr w:type="gramEnd"/>
      <w:r>
        <w:t xml:space="preserve"> one explains everything equally and produces automation bias.</w:t>
      </w:r>
    </w:p>
    <w:p w14:paraId="4BC61713" w14:textId="77777777" w:rsidR="00A0090D" w:rsidRDefault="00941742">
      <w:pPr>
        <w:spacing w:before="240" w:after="100"/>
      </w:pPr>
      <w:r>
        <w:rPr>
          <w:i/>
          <w:iCs/>
          <w:sz w:val="20"/>
          <w:szCs w:val="20"/>
        </w:rPr>
        <w:t>Table 2. Three human-AI collaboration topologies.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60"/>
        <w:gridCol w:w="2400"/>
        <w:gridCol w:w="1450"/>
        <w:gridCol w:w="1650"/>
      </w:tblGrid>
      <w:tr w:rsidR="00A0090D" w14:paraId="0430AD7B" w14:textId="77777777">
        <w:tblPrEx>
          <w:tblCellMar>
            <w:top w:w="0" w:type="dxa"/>
            <w:bottom w:w="0" w:type="dxa"/>
          </w:tblCellMar>
        </w:tblPrEx>
        <w:trPr>
          <w:cantSplit/>
          <w:tblHeader/>
        </w:trPr>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09700547" w14:textId="77777777" w:rsidR="00A0090D" w:rsidRDefault="00941742">
            <w:pPr>
              <w:spacing w:line="260" w:lineRule="auto"/>
            </w:pPr>
            <w:r>
              <w:rPr>
                <w:b/>
                <w:bCs/>
                <w:sz w:val="18"/>
                <w:szCs w:val="18"/>
              </w:rPr>
              <w:t>Topology</w:t>
            </w:r>
          </w:p>
        </w:tc>
        <w:tc>
          <w:tcPr>
            <w:tcW w:w="23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29873250" w14:textId="77777777" w:rsidR="00A0090D" w:rsidRDefault="00941742">
            <w:pPr>
              <w:spacing w:line="260" w:lineRule="auto"/>
            </w:pPr>
            <w:r>
              <w:rPr>
                <w:b/>
                <w:bCs/>
                <w:sz w:val="18"/>
                <w:szCs w:val="18"/>
              </w:rPr>
              <w:t>Mechanism</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2A1DF69" w14:textId="77777777" w:rsidR="00A0090D" w:rsidRDefault="00941742">
            <w:pPr>
              <w:spacing w:line="260" w:lineRule="auto"/>
            </w:pPr>
            <w:r>
              <w:rPr>
                <w:b/>
                <w:bCs/>
                <w:sz w:val="18"/>
                <w:szCs w:val="18"/>
              </w:rPr>
              <w:t>Sector example</w:t>
            </w:r>
          </w:p>
        </w:tc>
        <w:tc>
          <w:tcPr>
            <w:tcW w:w="145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57048966" w14:textId="77777777" w:rsidR="00A0090D" w:rsidRDefault="00941742">
            <w:pPr>
              <w:spacing w:line="260" w:lineRule="auto"/>
            </w:pPr>
            <w:r>
              <w:rPr>
                <w:b/>
                <w:bCs/>
                <w:sz w:val="18"/>
                <w:szCs w:val="18"/>
              </w:rPr>
              <w:t>XAI requirement</w:t>
            </w:r>
          </w:p>
        </w:tc>
        <w:tc>
          <w:tcPr>
            <w:tcW w:w="165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6417E81E" w14:textId="77777777" w:rsidR="00A0090D" w:rsidRDefault="00941742">
            <w:pPr>
              <w:spacing w:line="260" w:lineRule="auto"/>
            </w:pPr>
            <w:r>
              <w:rPr>
                <w:b/>
                <w:bCs/>
                <w:sz w:val="18"/>
                <w:szCs w:val="18"/>
              </w:rPr>
              <w:t>Failure mode</w:t>
            </w:r>
          </w:p>
        </w:tc>
      </w:tr>
      <w:tr w:rsidR="00A0090D" w14:paraId="7127C4D4"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A7BEE58" w14:textId="77777777" w:rsidR="00A0090D" w:rsidRDefault="00941742">
            <w:pPr>
              <w:spacing w:line="260" w:lineRule="auto"/>
            </w:pPr>
            <w:r>
              <w:rPr>
                <w:b/>
                <w:bCs/>
                <w:sz w:val="18"/>
                <w:szCs w:val="18"/>
              </w:rPr>
              <w:t>Human-in-the-loop</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F739BAE" w14:textId="77777777" w:rsidR="00A0090D" w:rsidRDefault="00941742">
            <w:pPr>
              <w:spacing w:line="260" w:lineRule="auto"/>
            </w:pPr>
            <w:r>
              <w:rPr>
                <w:sz w:val="18"/>
                <w:szCs w:val="18"/>
              </w:rPr>
              <w:t>Human reviews each AI output before action</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12849C2" w14:textId="77777777" w:rsidR="00A0090D" w:rsidRDefault="00941742">
            <w:pPr>
              <w:spacing w:line="260" w:lineRule="auto"/>
            </w:pPr>
            <w:r>
              <w:rPr>
                <w:sz w:val="18"/>
                <w:szCs w:val="18"/>
              </w:rPr>
              <w:t>Radiology Grad-CAM; oncology decision support</w:t>
            </w:r>
          </w:p>
        </w:tc>
        <w:tc>
          <w:tcPr>
            <w:tcW w:w="14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1A298BB" w14:textId="77777777" w:rsidR="00A0090D" w:rsidRDefault="00941742">
            <w:pPr>
              <w:spacing w:line="260" w:lineRule="auto"/>
            </w:pPr>
            <w:r>
              <w:rPr>
                <w:sz w:val="18"/>
                <w:szCs w:val="18"/>
              </w:rPr>
              <w:t>Local explanations attached to each output</w:t>
            </w:r>
          </w:p>
        </w:tc>
        <w:tc>
          <w:tcPr>
            <w:tcW w:w="16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5C9FE26" w14:textId="77777777" w:rsidR="00A0090D" w:rsidRDefault="00941742">
            <w:pPr>
              <w:spacing w:line="260" w:lineRule="auto"/>
            </w:pPr>
            <w:r>
              <w:rPr>
                <w:sz w:val="18"/>
                <w:szCs w:val="18"/>
              </w:rPr>
              <w:t>Rubber-stamping; automation bias</w:t>
            </w:r>
          </w:p>
        </w:tc>
      </w:tr>
      <w:tr w:rsidR="00A0090D" w14:paraId="498CEE30"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DB6EEBB" w14:textId="77777777" w:rsidR="00A0090D" w:rsidRDefault="00941742">
            <w:pPr>
              <w:spacing w:line="260" w:lineRule="auto"/>
            </w:pPr>
            <w:r>
              <w:rPr>
                <w:b/>
                <w:bCs/>
                <w:sz w:val="18"/>
                <w:szCs w:val="18"/>
              </w:rPr>
              <w:t>Human-on-the-loop</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DF13D33" w14:textId="77777777" w:rsidR="00A0090D" w:rsidRDefault="00941742">
            <w:pPr>
              <w:spacing w:line="260" w:lineRule="auto"/>
            </w:pPr>
            <w:r>
              <w:rPr>
                <w:sz w:val="18"/>
                <w:szCs w:val="18"/>
              </w:rPr>
              <w:t>AI acts; human monitors and can intervene</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C58904" w14:textId="77777777" w:rsidR="00A0090D" w:rsidRDefault="00941742">
            <w:pPr>
              <w:spacing w:line="260" w:lineRule="auto"/>
            </w:pPr>
            <w:r>
              <w:rPr>
                <w:sz w:val="18"/>
                <w:szCs w:val="18"/>
              </w:rPr>
              <w:t>Predictive maintenance; safety-driver AV</w:t>
            </w:r>
          </w:p>
        </w:tc>
        <w:tc>
          <w:tcPr>
            <w:tcW w:w="14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7266733" w14:textId="77777777" w:rsidR="00A0090D" w:rsidRDefault="00941742">
            <w:pPr>
              <w:spacing w:line="260" w:lineRule="auto"/>
            </w:pPr>
            <w:r>
              <w:rPr>
                <w:sz w:val="18"/>
                <w:szCs w:val="18"/>
              </w:rPr>
              <w:t>Aggregate dashboards; exception alerts</w:t>
            </w:r>
          </w:p>
        </w:tc>
        <w:tc>
          <w:tcPr>
            <w:tcW w:w="16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751D608" w14:textId="77777777" w:rsidR="00A0090D" w:rsidRDefault="00941742">
            <w:pPr>
              <w:spacing w:line="260" w:lineRule="auto"/>
            </w:pPr>
            <w:r>
              <w:rPr>
                <w:sz w:val="18"/>
                <w:szCs w:val="18"/>
              </w:rPr>
              <w:t>Alert fatigue; habituation</w:t>
            </w:r>
          </w:p>
        </w:tc>
      </w:tr>
      <w:tr w:rsidR="00A0090D" w14:paraId="31E00DF5" w14:textId="77777777">
        <w:tblPrEx>
          <w:tblCellMar>
            <w:top w:w="0" w:type="dxa"/>
            <w:bottom w:w="0" w:type="dxa"/>
          </w:tblCellMar>
        </w:tblPrEx>
        <w:trPr>
          <w:cantSplit/>
        </w:trPr>
        <w:tc>
          <w:tcPr>
            <w:tcW w:w="15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E9A75E3" w14:textId="77777777" w:rsidR="00A0090D" w:rsidRDefault="00941742">
            <w:pPr>
              <w:spacing w:line="260" w:lineRule="auto"/>
            </w:pPr>
            <w:r>
              <w:rPr>
                <w:b/>
                <w:bCs/>
                <w:sz w:val="18"/>
                <w:szCs w:val="18"/>
              </w:rPr>
              <w:t>Human-off-the-loop</w:t>
            </w:r>
          </w:p>
        </w:tc>
        <w:tc>
          <w:tcPr>
            <w:tcW w:w="23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6A9661F" w14:textId="77777777" w:rsidR="00A0090D" w:rsidRDefault="00941742">
            <w:pPr>
              <w:spacing w:line="260" w:lineRule="auto"/>
            </w:pPr>
            <w:r>
              <w:rPr>
                <w:sz w:val="18"/>
                <w:szCs w:val="18"/>
              </w:rPr>
              <w:t>AI acts; humans audit after the fact</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BBF993D" w14:textId="77777777" w:rsidR="00A0090D" w:rsidRDefault="00941742">
            <w:pPr>
              <w:spacing w:line="260" w:lineRule="auto"/>
            </w:pPr>
            <w:r>
              <w:rPr>
                <w:sz w:val="18"/>
                <w:szCs w:val="18"/>
              </w:rPr>
              <w:t xml:space="preserve">Algorithmic trading; </w:t>
            </w:r>
            <w:proofErr w:type="gramStart"/>
            <w:r>
              <w:rPr>
                <w:sz w:val="18"/>
                <w:szCs w:val="18"/>
              </w:rPr>
              <w:t>fully-autonomous</w:t>
            </w:r>
            <w:proofErr w:type="gramEnd"/>
            <w:r>
              <w:rPr>
                <w:sz w:val="18"/>
                <w:szCs w:val="18"/>
              </w:rPr>
              <w:t xml:space="preserve"> AV</w:t>
            </w:r>
          </w:p>
        </w:tc>
        <w:tc>
          <w:tcPr>
            <w:tcW w:w="14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0669B2B" w14:textId="77777777" w:rsidR="00A0090D" w:rsidRDefault="00941742">
            <w:pPr>
              <w:spacing w:line="260" w:lineRule="auto"/>
            </w:pPr>
            <w:r>
              <w:rPr>
                <w:sz w:val="18"/>
                <w:szCs w:val="18"/>
              </w:rPr>
              <w:t>Forensic logs preserved for audit</w:t>
            </w:r>
          </w:p>
        </w:tc>
        <w:tc>
          <w:tcPr>
            <w:tcW w:w="165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B5B8A93" w14:textId="77777777" w:rsidR="00A0090D" w:rsidRDefault="00941742">
            <w:pPr>
              <w:spacing w:line="260" w:lineRule="auto"/>
            </w:pPr>
            <w:r>
              <w:rPr>
                <w:sz w:val="18"/>
                <w:szCs w:val="18"/>
              </w:rPr>
              <w:t>Harm at scale before detection</w:t>
            </w:r>
          </w:p>
        </w:tc>
      </w:tr>
    </w:tbl>
    <w:p w14:paraId="7B8440D9" w14:textId="77777777" w:rsidR="00A0090D" w:rsidRDefault="00A0090D">
      <w:pPr>
        <w:spacing w:after="120"/>
      </w:pPr>
    </w:p>
    <w:p w14:paraId="7105E1CB" w14:textId="77777777" w:rsidR="007106B5" w:rsidRDefault="007106B5">
      <w:pPr>
        <w:spacing w:after="120"/>
      </w:pPr>
    </w:p>
    <w:p w14:paraId="5F4067D9" w14:textId="77777777" w:rsidR="007106B5" w:rsidRDefault="007106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090D" w14:paraId="1A5D5CB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99253BD" w14:textId="77777777" w:rsidR="007106B5" w:rsidRDefault="007106B5" w:rsidP="007106B5">
            <w:pPr>
              <w:spacing w:line="280" w:lineRule="auto"/>
              <w:rPr>
                <w:i/>
                <w:iCs/>
                <w:sz w:val="20"/>
                <w:szCs w:val="20"/>
              </w:rPr>
            </w:pPr>
            <w:r w:rsidRPr="007106B5">
              <w:rPr>
                <w:i/>
                <w:iCs/>
                <w:sz w:val="20"/>
                <w:szCs w:val="20"/>
                <w:highlight w:val="yellow"/>
              </w:rPr>
              <w:lastRenderedPageBreak/>
              <w:t>= to be done by participants =</w:t>
            </w:r>
          </w:p>
          <w:p w14:paraId="1BB8C4AA" w14:textId="6EF82296" w:rsidR="00A0090D" w:rsidRDefault="00941742">
            <w:pPr>
              <w:spacing w:line="280" w:lineRule="auto"/>
            </w:pPr>
            <w:r>
              <w:rPr>
                <w:i/>
                <w:iCs/>
                <w:sz w:val="20"/>
                <w:szCs w:val="20"/>
              </w:rPr>
              <w:t>Figure 3. Choosing a collaboration topology: a decision flowchart. A flowchart in four decision nodes drawn top to bottom. (1) “Is each decision individually consequential for an affected person?” Yes → consider HITL; No → continue. (2) “Is real-time human override technically and operationally feasible?” Yes → consider HOTL; No → continue. (3) “Is post-hoc audit sufficient to detect and remedy harm?” Yes → consider HOFL; No → the system may not be safely deployable in current form. (4) “Have you matched th</w:t>
            </w:r>
            <w:r>
              <w:rPr>
                <w:i/>
                <w:iCs/>
                <w:sz w:val="20"/>
                <w:szCs w:val="20"/>
              </w:rPr>
              <w:t>e XAI requirement (local / aggregate / forensic) to the topology?” If no, return to the design stage. Annotations remind the reader that HITL is not always better than HOTL or HOFL — it depends on what kinds of decisions are being made, by whom, and with what reviewable signal.</w:t>
            </w:r>
          </w:p>
        </w:tc>
      </w:tr>
    </w:tbl>
    <w:p w14:paraId="0ABB943B" w14:textId="77777777" w:rsidR="00A0090D" w:rsidRDefault="00941742">
      <w:pPr>
        <w:pStyle w:val="Heading1"/>
        <w:spacing w:before="280" w:after="160"/>
      </w:pPr>
      <w:r>
        <w:t>8. Looking ahead</w:t>
      </w:r>
    </w:p>
    <w:p w14:paraId="59325F8B" w14:textId="77777777" w:rsidR="00A0090D" w:rsidRDefault="00941742">
      <w:pPr>
        <w:spacing w:after="160" w:line="300" w:lineRule="auto"/>
        <w:jc w:val="both"/>
      </w:pPr>
      <w:r>
        <w:t>You have now seen XAI in four sectors. Session 5 takes the next and final step: governance, ethics, and the integrative project. Where this session focused on what XAI does in deployment, the final session asks what institutional structures are needed for it to work — risk taxonomies, conformity processes, accountability arrangements — and considers the open frontier questions where the field is still moving: causal interpretability, intrinsic explanation in large language models, multimodal XAI, and the gl</w:t>
      </w:r>
      <w:r>
        <w:t>obal regulatory landscape into which deployments must now fit.</w:t>
      </w:r>
    </w:p>
    <w:p w14:paraId="7C88359A" w14:textId="77777777" w:rsidR="00A0090D" w:rsidRDefault="00941742">
      <w:pPr>
        <w:spacing w:after="160" w:line="300" w:lineRule="auto"/>
        <w:jc w:val="both"/>
      </w:pPr>
      <w:r>
        <w:t xml:space="preserve">If the central insight of this session is that </w:t>
      </w:r>
      <w:r>
        <w:rPr>
          <w:i/>
          <w:iCs/>
        </w:rPr>
        <w:t>deployment determines what an explanation must be</w:t>
      </w:r>
      <w:r>
        <w:t xml:space="preserve">, the central insight of the next is that </w:t>
      </w:r>
      <w:r>
        <w:rPr>
          <w:i/>
          <w:iCs/>
        </w:rPr>
        <w:t>deployment determines what institutional capacity an organisation must build</w:t>
      </w:r>
      <w:r>
        <w:t xml:space="preserve"> to use AI responsibly. The toolkit of Session 3 and the sectoral lessons of this session are preconditions; they are not sufficient. The final session asks what completes them.</w:t>
      </w:r>
    </w:p>
    <w:p w14:paraId="107D5A8C" w14:textId="77777777" w:rsidR="00A0090D" w:rsidRDefault="00941742">
      <w:pPr>
        <w:spacing w:before="80" w:after="200"/>
        <w:jc w:val="center"/>
      </w:pPr>
      <w:r>
        <w:rPr>
          <w:color w:val="BFBFBF"/>
          <w:sz w:val="18"/>
          <w:szCs w:val="18"/>
        </w:rPr>
        <w:t>————————————————————————————————————————</w:t>
      </w:r>
    </w:p>
    <w:p w14:paraId="34075B3E" w14:textId="77777777" w:rsidR="00A0090D" w:rsidRDefault="00941742">
      <w:r>
        <w:br w:type="page"/>
      </w:r>
    </w:p>
    <w:p w14:paraId="19441DB6" w14:textId="77777777" w:rsidR="00A0090D" w:rsidRDefault="00941742">
      <w:pPr>
        <w:pStyle w:val="Heading1"/>
        <w:spacing w:before="280" w:after="160"/>
      </w:pPr>
      <w:r>
        <w:lastRenderedPageBreak/>
        <w:t>Bibliography</w:t>
      </w:r>
    </w:p>
    <w:p w14:paraId="65348DD5" w14:textId="77777777" w:rsidR="00A0090D" w:rsidRDefault="00941742">
      <w:pPr>
        <w:spacing w:after="140" w:line="280" w:lineRule="auto"/>
        <w:ind w:left="360" w:hanging="360"/>
      </w:pPr>
      <w:r>
        <w:t xml:space="preserve">Bansal, G., T. Wu, J. Zhou, R. Fok, B. Nushi, E. Kamar, M. T. Ribeiro, and D. S. Weld, ‘Does the Whole Exceed Its Parts? The Effect of AI Explanations on Complementary Team Performance’, in </w:t>
      </w:r>
      <w:r>
        <w:rPr>
          <w:i/>
          <w:iCs/>
        </w:rPr>
        <w:t>Proceedings of the 2021 CHI Conference on Human Factors in Computing Systems</w:t>
      </w:r>
      <w:r>
        <w:t xml:space="preserve"> (New York: ACM, 2021), Article 81.</w:t>
      </w:r>
    </w:p>
    <w:p w14:paraId="2C31FF7E" w14:textId="77777777" w:rsidR="00A0090D" w:rsidRDefault="00941742">
      <w:pPr>
        <w:spacing w:after="140" w:line="280" w:lineRule="auto"/>
        <w:ind w:left="360" w:hanging="360"/>
      </w:pPr>
      <w:r>
        <w:t xml:space="preserve">Bhatt, U., et al., ‘Explainable Machine Learning in Deployment’, in </w:t>
      </w:r>
      <w:r>
        <w:rPr>
          <w:i/>
          <w:iCs/>
        </w:rPr>
        <w:t>Proceedings of the 2020 Conference on Fairness, Accountability, and Transparency</w:t>
      </w:r>
      <w:r>
        <w:t xml:space="preserve"> (New York: ACM, 2020), 648–657.</w:t>
      </w:r>
    </w:p>
    <w:p w14:paraId="152359D2" w14:textId="77777777" w:rsidR="00A0090D" w:rsidRDefault="00941742">
      <w:pPr>
        <w:spacing w:after="140" w:line="280" w:lineRule="auto"/>
        <w:ind w:left="360" w:hanging="360"/>
      </w:pPr>
      <w:r>
        <w:t>European Union, Regulation (EU) 2024/1689 (Artificial Intelligence Act), [2024] OJ L 1689/1.</w:t>
      </w:r>
    </w:p>
    <w:p w14:paraId="083986FD" w14:textId="77777777" w:rsidR="00A0090D" w:rsidRDefault="00941742">
      <w:pPr>
        <w:spacing w:after="140" w:line="280" w:lineRule="auto"/>
        <w:ind w:left="360" w:hanging="360"/>
      </w:pPr>
      <w:r>
        <w:t>Illinois General Assembly, Artificial Intelligence Video Interview Act, 820 ILCS 42 (2019, effective 1 January 2020).</w:t>
      </w:r>
    </w:p>
    <w:p w14:paraId="21FC4625" w14:textId="77777777" w:rsidR="00A0090D" w:rsidRDefault="00941742">
      <w:pPr>
        <w:spacing w:after="140" w:line="280" w:lineRule="auto"/>
        <w:ind w:left="360" w:hanging="360"/>
      </w:pPr>
      <w:r>
        <w:t xml:space="preserve">ISO 26262:2018, </w:t>
      </w:r>
      <w:r>
        <w:rPr>
          <w:i/>
          <w:iCs/>
        </w:rPr>
        <w:t>Road Vehicles — Functional Safety</w:t>
      </w:r>
      <w:r>
        <w:t xml:space="preserve"> (Geneva: International Organization for Standardization, 2018).</w:t>
      </w:r>
    </w:p>
    <w:p w14:paraId="661BAFB0" w14:textId="77777777" w:rsidR="00A0090D" w:rsidRDefault="00941742">
      <w:pPr>
        <w:spacing w:after="140" w:line="280" w:lineRule="auto"/>
        <w:ind w:left="360" w:hanging="360"/>
      </w:pPr>
      <w:r>
        <w:t xml:space="preserve">ISO 21448:2022, </w:t>
      </w:r>
      <w:r>
        <w:rPr>
          <w:i/>
          <w:iCs/>
        </w:rPr>
        <w:t>Road Vehicles — Safety of the Intended Functionality</w:t>
      </w:r>
      <w:r>
        <w:t xml:space="preserve"> (Geneva: International Organization for Standardization, 2022).</w:t>
      </w:r>
    </w:p>
    <w:p w14:paraId="4F2FE042" w14:textId="77777777" w:rsidR="00A0090D" w:rsidRDefault="00941742">
      <w:pPr>
        <w:spacing w:after="140" w:line="280" w:lineRule="auto"/>
        <w:ind w:left="360" w:hanging="360"/>
      </w:pPr>
      <w:r>
        <w:t xml:space="preserve">Knight, W., ‘Job Screening Service Halts Facial Analysis of Applicants’, </w:t>
      </w:r>
      <w:r>
        <w:rPr>
          <w:i/>
          <w:iCs/>
        </w:rPr>
        <w:t>Wired</w:t>
      </w:r>
      <w:r>
        <w:t xml:space="preserve"> (12 January 2021).</w:t>
      </w:r>
    </w:p>
    <w:p w14:paraId="7ABB1E56" w14:textId="77777777" w:rsidR="00A0090D" w:rsidRDefault="00941742">
      <w:pPr>
        <w:spacing w:after="140" w:line="280" w:lineRule="auto"/>
        <w:ind w:left="360" w:hanging="360"/>
      </w:pPr>
      <w:r>
        <w:t>New York City Council, Local Law 144 of 2021, codified in NYC Administrative Code § 20-870 et seq. (enforcement effective 5 July 2023).</w:t>
      </w:r>
    </w:p>
    <w:p w14:paraId="7787CBB0" w14:textId="77777777" w:rsidR="00A0090D" w:rsidRDefault="00941742">
      <w:pPr>
        <w:spacing w:after="140" w:line="280" w:lineRule="auto"/>
        <w:ind w:left="360" w:hanging="360"/>
      </w:pPr>
      <w:r>
        <w:t xml:space="preserve">New York State Department of Financial Services, </w:t>
      </w:r>
      <w:r>
        <w:rPr>
          <w:i/>
          <w:iCs/>
        </w:rPr>
        <w:t>Report on Apple Card Investigation</w:t>
      </w:r>
      <w:r>
        <w:t xml:space="preserve"> (Albany NY: NY DFS, March 2021).</w:t>
      </w:r>
    </w:p>
    <w:p w14:paraId="2F9E2848" w14:textId="77777777" w:rsidR="00A0090D" w:rsidRDefault="00941742">
      <w:pPr>
        <w:spacing w:after="140" w:line="280" w:lineRule="auto"/>
        <w:ind w:left="360" w:hanging="360"/>
      </w:pPr>
      <w:r>
        <w:t xml:space="preserve">Raghavan, M., S. Barocas, J. Kleinberg, and K. Levy, ‘Mitigating Bias in Algorithmic Hiring: Evaluating Claims and Practices’, in </w:t>
      </w:r>
      <w:r>
        <w:rPr>
          <w:i/>
          <w:iCs/>
        </w:rPr>
        <w:t>Proceedings of the 2020 Conference on Fairness, Accountability, and Transparency</w:t>
      </w:r>
      <w:r>
        <w:t xml:space="preserve"> (New York: ACM, 2020), 469–481.</w:t>
      </w:r>
    </w:p>
    <w:p w14:paraId="617C2A0C" w14:textId="77777777" w:rsidR="00A0090D" w:rsidRDefault="00941742">
      <w:pPr>
        <w:spacing w:after="140" w:line="280" w:lineRule="auto"/>
        <w:ind w:left="360" w:hanging="360"/>
      </w:pPr>
      <w:proofErr w:type="spellStart"/>
      <w:r>
        <w:t>Rechtbank</w:t>
      </w:r>
      <w:proofErr w:type="spellEnd"/>
      <w:r>
        <w:t xml:space="preserve"> Den Haag (District Court of The Hague), Judgment of 5 February 2020, ECLI:</w:t>
      </w:r>
      <w:proofErr w:type="gramStart"/>
      <w:r>
        <w:t>NL:RBDHA</w:t>
      </w:r>
      <w:proofErr w:type="gramEnd"/>
      <w:r>
        <w:t>:2020:865 (</w:t>
      </w:r>
      <w:r>
        <w:rPr>
          <w:i/>
          <w:iCs/>
        </w:rPr>
        <w:t>NJCM v The State of the Netherlands</w:t>
      </w:r>
      <w:r>
        <w:t>).</w:t>
      </w:r>
    </w:p>
    <w:p w14:paraId="7365EAAB" w14:textId="77777777" w:rsidR="00A0090D" w:rsidRDefault="00941742">
      <w:pPr>
        <w:spacing w:after="140" w:line="280" w:lineRule="auto"/>
        <w:ind w:left="360" w:hanging="360"/>
      </w:pPr>
      <w:r>
        <w:t xml:space="preserve">Ross, C., and I. </w:t>
      </w:r>
      <w:proofErr w:type="spellStart"/>
      <w:r>
        <w:t>Swetlitz</w:t>
      </w:r>
      <w:proofErr w:type="spellEnd"/>
      <w:r>
        <w:t xml:space="preserve">, ‘IBM’s Watson Supercomputer Recommended “Unsafe and Incorrect” Cancer Treatments, Internal Documents Show’, </w:t>
      </w:r>
      <w:r>
        <w:rPr>
          <w:i/>
          <w:iCs/>
        </w:rPr>
        <w:t>STAT</w:t>
      </w:r>
      <w:r>
        <w:t xml:space="preserve"> (25 July 2018).</w:t>
      </w:r>
    </w:p>
    <w:p w14:paraId="27E899EF" w14:textId="77777777" w:rsidR="00A0090D" w:rsidRDefault="00941742">
      <w:pPr>
        <w:spacing w:after="140" w:line="280" w:lineRule="auto"/>
        <w:ind w:left="360" w:hanging="360"/>
      </w:pPr>
      <w:r>
        <w:t xml:space="preserve">Royal Commission into the </w:t>
      </w:r>
      <w:proofErr w:type="spellStart"/>
      <w:r>
        <w:t>Robodebt</w:t>
      </w:r>
      <w:proofErr w:type="spellEnd"/>
      <w:r>
        <w:t xml:space="preserve"> Scheme, </w:t>
      </w:r>
      <w:r>
        <w:rPr>
          <w:i/>
          <w:iCs/>
        </w:rPr>
        <w:t>Report</w:t>
      </w:r>
      <w:r>
        <w:t xml:space="preserve"> (Commonwealth of Australia, 7 July 2023), Commissioner Catherine Holmes AC SC.</w:t>
      </w:r>
    </w:p>
    <w:p w14:paraId="21662A63" w14:textId="77777777" w:rsidR="00A0090D" w:rsidRDefault="00941742">
      <w:pPr>
        <w:spacing w:after="140" w:line="280" w:lineRule="auto"/>
        <w:ind w:left="360" w:hanging="360"/>
      </w:pPr>
      <w:r>
        <w:t xml:space="preserve">Skelton, S. K., ‘IBM Sells Off Watson Health Assets to Investment Firm’, </w:t>
      </w:r>
      <w:r>
        <w:rPr>
          <w:i/>
          <w:iCs/>
        </w:rPr>
        <w:t>Computer Weekly</w:t>
      </w:r>
      <w:r>
        <w:t xml:space="preserve"> (21 January 2022).</w:t>
      </w:r>
    </w:p>
    <w:p w14:paraId="6774D328" w14:textId="77777777" w:rsidR="00A0090D" w:rsidRDefault="00941742">
      <w:pPr>
        <w:spacing w:after="140" w:line="280" w:lineRule="auto"/>
        <w:ind w:left="360" w:hanging="360"/>
      </w:pPr>
      <w:r>
        <w:t xml:space="preserve">Slack, D., S. Hilgard, E. Jia, S. Singh, and H. </w:t>
      </w:r>
      <w:proofErr w:type="spellStart"/>
      <w:r>
        <w:t>Lakkaraju</w:t>
      </w:r>
      <w:proofErr w:type="spellEnd"/>
      <w:r>
        <w:t xml:space="preserve">, ‘Fooling LIME and SHAP: Adversarial Attacks on Post Hoc Explanation Methods’, in </w:t>
      </w:r>
      <w:r>
        <w:rPr>
          <w:i/>
          <w:iCs/>
        </w:rPr>
        <w:t>Proceedings of the AAAI/ACM Conference on AI, Ethics, and Society</w:t>
      </w:r>
      <w:r>
        <w:t xml:space="preserve"> (New York: ACM, 2020), 180–186.</w:t>
      </w:r>
    </w:p>
    <w:p w14:paraId="07D59268" w14:textId="77777777" w:rsidR="00A0090D" w:rsidRDefault="00941742">
      <w:pPr>
        <w:spacing w:after="140" w:line="280" w:lineRule="auto"/>
        <w:ind w:left="360" w:hanging="360"/>
      </w:pPr>
      <w:r>
        <w:lastRenderedPageBreak/>
        <w:t xml:space="preserve">Strickland, E., ‘How IBM Watson Overpromised and Underdelivered on AI Health Care’, </w:t>
      </w:r>
      <w:r>
        <w:rPr>
          <w:i/>
          <w:iCs/>
        </w:rPr>
        <w:t>IEEE Spectrum</w:t>
      </w:r>
      <w:r>
        <w:t xml:space="preserve"> (2 April 2019).</w:t>
      </w:r>
    </w:p>
    <w:p w14:paraId="275E5056" w14:textId="77777777" w:rsidR="00A0090D" w:rsidRDefault="00941742">
      <w:pPr>
        <w:spacing w:after="140" w:line="280" w:lineRule="auto"/>
        <w:ind w:left="360" w:hanging="360"/>
      </w:pPr>
      <w:r>
        <w:t xml:space="preserve">U.S. Food and Drug Administration, </w:t>
      </w:r>
      <w:r>
        <w:rPr>
          <w:i/>
          <w:iCs/>
        </w:rPr>
        <w:t>Artificial Intelligence/Machine Learning (AI/ML)-Based Software as a Medical Device (SaMD) Action Plan</w:t>
      </w:r>
      <w:r>
        <w:t xml:space="preserve"> (Silver Spring MD: FDA, January 2021).</w:t>
      </w:r>
    </w:p>
    <w:p w14:paraId="683CC1B1" w14:textId="77777777" w:rsidR="00A0090D" w:rsidRDefault="00941742">
      <w:pPr>
        <w:spacing w:after="140" w:line="280" w:lineRule="auto"/>
        <w:ind w:left="360" w:hanging="360"/>
      </w:pPr>
      <w:r>
        <w:t xml:space="preserve">U.S. Food and Drug Administration, </w:t>
      </w:r>
      <w:r>
        <w:rPr>
          <w:i/>
          <w:iCs/>
        </w:rPr>
        <w:t>Artificial Intelligence and Machine Learning (AI/ML)-Enabled Medical Devices</w:t>
      </w:r>
      <w:r>
        <w:t xml:space="preserve"> (publicly maintained list; periodically updated).</w:t>
      </w:r>
    </w:p>
    <w:p w14:paraId="7DDF83F4" w14:textId="77777777" w:rsidR="00A0090D" w:rsidRDefault="00941742">
      <w:pPr>
        <w:spacing w:after="140" w:line="280" w:lineRule="auto"/>
        <w:ind w:left="360" w:hanging="360"/>
      </w:pPr>
      <w:r>
        <w:t xml:space="preserve">U.S. National Transportation Safety Board, </w:t>
      </w:r>
      <w:r>
        <w:rPr>
          <w:i/>
          <w:iCs/>
        </w:rPr>
        <w:t>Collision Between Vehicle Controlled by Developmental Automated Driving System and Pedestrian, Tempe, Arizona, March 18, 2018</w:t>
      </w:r>
      <w:r>
        <w:t>, Highway Accident Report NTSB/HAR-19/03 (Washington DC: NTSB, 2019).</w:t>
      </w:r>
    </w:p>
    <w:p w14:paraId="02D633FC" w14:textId="77777777" w:rsidR="00A0090D" w:rsidRDefault="00941742">
      <w:pPr>
        <w:spacing w:after="140" w:line="280" w:lineRule="auto"/>
        <w:ind w:left="360" w:hanging="360"/>
      </w:pPr>
      <w:r>
        <w:t xml:space="preserve">Wong, A., E. </w:t>
      </w:r>
      <w:proofErr w:type="spellStart"/>
      <w:r>
        <w:t>Otles</w:t>
      </w:r>
      <w:proofErr w:type="spellEnd"/>
      <w:r>
        <w:t xml:space="preserve">, J. P. Donnelly, A. Krumm, J. McCullough, O. </w:t>
      </w:r>
      <w:proofErr w:type="spellStart"/>
      <w:r>
        <w:t>DeTroyer</w:t>
      </w:r>
      <w:proofErr w:type="spellEnd"/>
      <w:r>
        <w:t xml:space="preserve">-Cooley, J. </w:t>
      </w:r>
      <w:proofErr w:type="spellStart"/>
      <w:r>
        <w:t>Pestrue</w:t>
      </w:r>
      <w:proofErr w:type="spellEnd"/>
      <w:r>
        <w:t xml:space="preserve">, M. Phillips, J. Konye, C. </w:t>
      </w:r>
      <w:proofErr w:type="spellStart"/>
      <w:r>
        <w:t>Penoza</w:t>
      </w:r>
      <w:proofErr w:type="spellEnd"/>
      <w:r>
        <w:t xml:space="preserve">, M. Ghous, and K. Singh, ‘External Validation of a Widely Implemented Proprietary Sepsis Prediction Model in Hospitalized Patients’, </w:t>
      </w:r>
      <w:r>
        <w:rPr>
          <w:i/>
          <w:iCs/>
        </w:rPr>
        <w:t>JAMA Internal Medicine</w:t>
      </w:r>
      <w:r>
        <w:t>, vol. 181, no. 8 (2021), 1065–1070.</w:t>
      </w:r>
    </w:p>
    <w:sectPr w:rsidR="00A0090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5C6C" w14:textId="77777777" w:rsidR="00941742" w:rsidRDefault="00941742">
      <w:r>
        <w:separator/>
      </w:r>
    </w:p>
  </w:endnote>
  <w:endnote w:type="continuationSeparator" w:id="0">
    <w:p w14:paraId="67DC9BB9" w14:textId="77777777" w:rsidR="00941742" w:rsidRDefault="00941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CFB3" w14:textId="77777777" w:rsidR="00A0090D" w:rsidRDefault="0094174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106B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106B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5ED9" w14:textId="77777777" w:rsidR="00941742" w:rsidRDefault="00941742">
      <w:r>
        <w:separator/>
      </w:r>
    </w:p>
  </w:footnote>
  <w:footnote w:type="continuationSeparator" w:id="0">
    <w:p w14:paraId="1EC24F31" w14:textId="77777777" w:rsidR="00941742" w:rsidRDefault="00941742">
      <w:r>
        <w:continuationSeparator/>
      </w:r>
    </w:p>
  </w:footnote>
  <w:footnote w:id="1">
    <w:p w14:paraId="210B83D9" w14:textId="77777777" w:rsidR="00A0090D" w:rsidRDefault="00941742">
      <w:pPr>
        <w:spacing w:after="60"/>
      </w:pPr>
      <w:r>
        <w:rPr>
          <w:rStyle w:val="FootnoteReference"/>
        </w:rPr>
        <w:footnoteRef/>
      </w:r>
      <w:r>
        <w:rPr>
          <w:sz w:val="18"/>
          <w:szCs w:val="18"/>
        </w:rPr>
        <w:t xml:space="preserve">Casey Ross and Ike Swetlitz, ‘IBM’s Watson Supercomputer Recommended “Unsafe and Incorrect” Cancer Treatments, Internal Documents Show’, </w:t>
      </w:r>
      <w:r>
        <w:rPr>
          <w:i/>
          <w:iCs/>
          <w:sz w:val="18"/>
          <w:szCs w:val="18"/>
        </w:rPr>
        <w:t>STAT</w:t>
      </w:r>
      <w:r>
        <w:rPr>
          <w:sz w:val="18"/>
          <w:szCs w:val="18"/>
        </w:rPr>
        <w:t xml:space="preserve"> (25 July 2018).</w:t>
      </w:r>
    </w:p>
  </w:footnote>
  <w:footnote w:id="2">
    <w:p w14:paraId="51CDE197" w14:textId="77777777" w:rsidR="00A0090D" w:rsidRDefault="00941742">
      <w:pPr>
        <w:spacing w:after="60"/>
      </w:pPr>
      <w:r>
        <w:rPr>
          <w:rStyle w:val="FootnoteReference"/>
        </w:rPr>
        <w:footnoteRef/>
      </w:r>
      <w:r>
        <w:rPr>
          <w:sz w:val="18"/>
          <w:szCs w:val="18"/>
        </w:rPr>
        <w:t xml:space="preserve">Eliza Strickland, ‘How IBM Watson Overpromised and Underdelivered on AI Health Care’, </w:t>
      </w:r>
      <w:r>
        <w:rPr>
          <w:i/>
          <w:iCs/>
          <w:sz w:val="18"/>
          <w:szCs w:val="18"/>
        </w:rPr>
        <w:t>IEEE Spectrum</w:t>
      </w:r>
      <w:r>
        <w:rPr>
          <w:sz w:val="18"/>
          <w:szCs w:val="18"/>
        </w:rPr>
        <w:t xml:space="preserve"> (2 April 2019). IBM divested the Watson Health business in 2022; see Sebastian Klovig Skelton, ‘IBM Sells Off Watson Health Assets to Investment Firm’, </w:t>
      </w:r>
      <w:r>
        <w:rPr>
          <w:i/>
          <w:iCs/>
          <w:sz w:val="18"/>
          <w:szCs w:val="18"/>
        </w:rPr>
        <w:t>Computer Weekly</w:t>
      </w:r>
      <w:r>
        <w:rPr>
          <w:sz w:val="18"/>
          <w:szCs w:val="18"/>
        </w:rPr>
        <w:t xml:space="preserve"> (21 January 2022).</w:t>
      </w:r>
    </w:p>
  </w:footnote>
  <w:footnote w:id="3">
    <w:p w14:paraId="62543BD0" w14:textId="77777777" w:rsidR="00A0090D" w:rsidRDefault="00941742">
      <w:pPr>
        <w:spacing w:after="60"/>
      </w:pPr>
      <w:r>
        <w:rPr>
          <w:rStyle w:val="FootnoteReference"/>
        </w:rPr>
        <w:footnoteRef/>
      </w:r>
      <w:r>
        <w:rPr>
          <w:sz w:val="18"/>
          <w:szCs w:val="18"/>
        </w:rPr>
        <w:t xml:space="preserve">Andrew Wong, Erkin Otles, John P. Donnelly, Andrew Krumm, Jeffrey McCullough, Olivia DeTroyer-Cooley, Justin Pestrue, Marie Phillips, Judy Konye, Carleen </w:t>
      </w:r>
      <w:proofErr w:type="spellStart"/>
      <w:r>
        <w:rPr>
          <w:sz w:val="18"/>
          <w:szCs w:val="18"/>
        </w:rPr>
        <w:t>Penoza</w:t>
      </w:r>
      <w:proofErr w:type="spellEnd"/>
      <w:r>
        <w:rPr>
          <w:sz w:val="18"/>
          <w:szCs w:val="18"/>
        </w:rPr>
        <w:t xml:space="preserve">, Muhammad Ghous and Karandeep Singh, ‘External Validation of a Widely Implemented Proprietary Sepsis Prediction Model in Hospitalized Patients’ (2021) 181(8) </w:t>
      </w:r>
      <w:r>
        <w:rPr>
          <w:i/>
          <w:iCs/>
          <w:sz w:val="18"/>
          <w:szCs w:val="18"/>
        </w:rPr>
        <w:t>JAMA Internal Medicine</w:t>
      </w:r>
      <w:r>
        <w:rPr>
          <w:sz w:val="18"/>
          <w:szCs w:val="18"/>
        </w:rPr>
        <w:t xml:space="preserve"> 1065. Epic’s response was published in the same journal: see James M. Sweeney and others, ‘Letter Regarding the Wong et al. External Validation’, ibid.</w:t>
      </w:r>
    </w:p>
  </w:footnote>
  <w:footnote w:id="4">
    <w:p w14:paraId="54879239" w14:textId="77777777" w:rsidR="00A0090D" w:rsidRDefault="00941742">
      <w:pPr>
        <w:spacing w:after="60"/>
      </w:pPr>
      <w:r>
        <w:rPr>
          <w:rStyle w:val="FootnoteReference"/>
        </w:rPr>
        <w:footnoteRef/>
      </w:r>
      <w:r>
        <w:rPr>
          <w:sz w:val="18"/>
          <w:szCs w:val="18"/>
        </w:rPr>
        <w:t xml:space="preserve">U.S. Food and Drug Administration, </w:t>
      </w:r>
      <w:r>
        <w:rPr>
          <w:i/>
          <w:iCs/>
          <w:sz w:val="18"/>
          <w:szCs w:val="18"/>
        </w:rPr>
        <w:t>Artificial Intelligence and Machine Learning (AI/ML)-Enabled Medical Devices</w:t>
      </w:r>
      <w:r>
        <w:rPr>
          <w:sz w:val="18"/>
          <w:szCs w:val="18"/>
        </w:rPr>
        <w:t xml:space="preserve"> (publicly maintained list, last updated 2025), accessed via the FDA website. See also FDA, </w:t>
      </w:r>
      <w:r>
        <w:rPr>
          <w:i/>
          <w:iCs/>
          <w:sz w:val="18"/>
          <w:szCs w:val="18"/>
        </w:rPr>
        <w:t>Artificial Intelligence/Machine Learning (AI/ML)-Based Software as a Medical Device (SaMD) Action Plan</w:t>
      </w:r>
      <w:r>
        <w:rPr>
          <w:sz w:val="18"/>
          <w:szCs w:val="18"/>
        </w:rPr>
        <w:t xml:space="preserve"> (January 2021), and FDA draft guidance on Predetermined Change Control Plans for AI/ML-Enabled Device Software Functions (April 2023, revised 2024).</w:t>
      </w:r>
    </w:p>
  </w:footnote>
  <w:footnote w:id="5">
    <w:p w14:paraId="7001719E" w14:textId="77777777" w:rsidR="00A0090D" w:rsidRDefault="00941742">
      <w:pPr>
        <w:spacing w:after="60"/>
      </w:pPr>
      <w:r>
        <w:rPr>
          <w:rStyle w:val="FootnoteReference"/>
        </w:rPr>
        <w:footnoteRef/>
      </w:r>
      <w:r>
        <w:rPr>
          <w:sz w:val="18"/>
          <w:szCs w:val="18"/>
        </w:rPr>
        <w:t>Regulation (EU) 2024/1689 of the European Parliament and of the Council of 13 June 2024 laying down harmonised rules on artificial intelligence (Artificial Intelligence Act) [2024] OJ L 1689/1, Annex III item 5(b) (creditworthiness assessment) and item 4(a) (recruitment); art 86 (right to explanation for affected persons).</w:t>
      </w:r>
    </w:p>
  </w:footnote>
  <w:footnote w:id="6">
    <w:p w14:paraId="02709D3C" w14:textId="77777777" w:rsidR="00A0090D" w:rsidRDefault="00941742">
      <w:pPr>
        <w:spacing w:after="60"/>
      </w:pPr>
      <w:r>
        <w:rPr>
          <w:rStyle w:val="FootnoteReference"/>
        </w:rPr>
        <w:footnoteRef/>
      </w:r>
      <w:r>
        <w:rPr>
          <w:sz w:val="18"/>
          <w:szCs w:val="18"/>
        </w:rPr>
        <w:t xml:space="preserve">New York State Department of Financial Services, </w:t>
      </w:r>
      <w:r>
        <w:rPr>
          <w:i/>
          <w:iCs/>
          <w:sz w:val="18"/>
          <w:szCs w:val="18"/>
        </w:rPr>
        <w:t>Report on Apple Card Investigation</w:t>
      </w:r>
      <w:r>
        <w:rPr>
          <w:sz w:val="18"/>
          <w:szCs w:val="18"/>
        </w:rPr>
        <w:t xml:space="preserve"> (Albany NY: NY DFS, March 2021). The DFS did not find Goldman Sachs in violation of state fair-lending law on the evidence </w:t>
      </w:r>
      <w:proofErr w:type="gramStart"/>
      <w:r>
        <w:rPr>
          <w:sz w:val="18"/>
          <w:szCs w:val="18"/>
        </w:rPr>
        <w:t>available, but</w:t>
      </w:r>
      <w:proofErr w:type="gramEnd"/>
      <w:r>
        <w:rPr>
          <w:sz w:val="18"/>
          <w:szCs w:val="18"/>
        </w:rPr>
        <w:t xml:space="preserve"> criticised the bank’s consumer-facing transparency.</w:t>
      </w:r>
    </w:p>
  </w:footnote>
  <w:footnote w:id="7">
    <w:p w14:paraId="354CAA64" w14:textId="77777777" w:rsidR="00A0090D" w:rsidRDefault="00941742">
      <w:pPr>
        <w:spacing w:after="60"/>
      </w:pPr>
      <w:r>
        <w:rPr>
          <w:rStyle w:val="FootnoteReference"/>
        </w:rPr>
        <w:footnoteRef/>
      </w:r>
      <w:r>
        <w:rPr>
          <w:sz w:val="18"/>
          <w:szCs w:val="18"/>
        </w:rPr>
        <w:t xml:space="preserve">U.S. National Transportation Safety Board, </w:t>
      </w:r>
      <w:r>
        <w:rPr>
          <w:i/>
          <w:iCs/>
          <w:sz w:val="18"/>
          <w:szCs w:val="18"/>
        </w:rPr>
        <w:t>Collision Between Vehicle Controlled by Developmental Automated Driving System and Pedestrian, Tempe, Arizona, March 18, 2018</w:t>
      </w:r>
      <w:r>
        <w:rPr>
          <w:sz w:val="18"/>
          <w:szCs w:val="18"/>
        </w:rPr>
        <w:t>, Highway Accident Report NTSB/HAR-19/03 (Washington DC: NTSB, 19 November 2019). The NTSB found probable cause in the safety driver’s inattention combined with Uber ATG’s inadequate safety culture, including the disabling of factory-installed automatic emergency braking and the absence of operator alerts.</w:t>
      </w:r>
    </w:p>
  </w:footnote>
  <w:footnote w:id="8">
    <w:p w14:paraId="59317C85" w14:textId="77777777" w:rsidR="00A0090D" w:rsidRDefault="00941742">
      <w:pPr>
        <w:spacing w:after="60"/>
      </w:pPr>
      <w:r>
        <w:rPr>
          <w:rStyle w:val="FootnoteReference"/>
        </w:rPr>
        <w:footnoteRef/>
      </w:r>
      <w:r>
        <w:rPr>
          <w:sz w:val="18"/>
          <w:szCs w:val="18"/>
        </w:rPr>
        <w:t xml:space="preserve">ISO 26262:2018, </w:t>
      </w:r>
      <w:r>
        <w:rPr>
          <w:i/>
          <w:iCs/>
          <w:sz w:val="18"/>
          <w:szCs w:val="18"/>
        </w:rPr>
        <w:t>Road Vehicles — Functional Safety</w:t>
      </w:r>
      <w:r>
        <w:rPr>
          <w:sz w:val="18"/>
          <w:szCs w:val="18"/>
        </w:rPr>
        <w:t xml:space="preserve"> (Geneva: ISO, 2nd </w:t>
      </w:r>
      <w:proofErr w:type="spellStart"/>
      <w:r>
        <w:rPr>
          <w:sz w:val="18"/>
          <w:szCs w:val="18"/>
        </w:rPr>
        <w:t>edn</w:t>
      </w:r>
      <w:proofErr w:type="spellEnd"/>
      <w:r>
        <w:rPr>
          <w:sz w:val="18"/>
          <w:szCs w:val="18"/>
        </w:rPr>
        <w:t xml:space="preserve"> 2018); ISO 21448:2022, </w:t>
      </w:r>
      <w:r>
        <w:rPr>
          <w:i/>
          <w:iCs/>
          <w:sz w:val="18"/>
          <w:szCs w:val="18"/>
        </w:rPr>
        <w:t>Road Vehicles — Safety of the Intended Functionality</w:t>
      </w:r>
      <w:r>
        <w:rPr>
          <w:sz w:val="18"/>
          <w:szCs w:val="18"/>
        </w:rPr>
        <w:t xml:space="preserve"> (Geneva: ISO, 2022) (succeeding the earlier ISO/PAS 21448:2019).</w:t>
      </w:r>
    </w:p>
  </w:footnote>
  <w:footnote w:id="9">
    <w:p w14:paraId="5A82E204" w14:textId="77777777" w:rsidR="00A0090D" w:rsidRDefault="00941742">
      <w:pPr>
        <w:spacing w:after="60"/>
      </w:pPr>
      <w:r>
        <w:rPr>
          <w:rStyle w:val="FootnoteReference"/>
        </w:rPr>
        <w:footnoteRef/>
      </w:r>
      <w:proofErr w:type="spellStart"/>
      <w:r>
        <w:rPr>
          <w:sz w:val="18"/>
          <w:szCs w:val="18"/>
        </w:rPr>
        <w:t>Rechtbank</w:t>
      </w:r>
      <w:proofErr w:type="spellEnd"/>
      <w:r>
        <w:rPr>
          <w:sz w:val="18"/>
          <w:szCs w:val="18"/>
        </w:rPr>
        <w:t xml:space="preserve"> Den Haag (District Court of The Hague), Judgment of 5 February 2020, ECLI:</w:t>
      </w:r>
      <w:proofErr w:type="gramStart"/>
      <w:r>
        <w:rPr>
          <w:sz w:val="18"/>
          <w:szCs w:val="18"/>
        </w:rPr>
        <w:t>NL:RBDHA</w:t>
      </w:r>
      <w:proofErr w:type="gramEnd"/>
      <w:r>
        <w:rPr>
          <w:sz w:val="18"/>
          <w:szCs w:val="18"/>
        </w:rPr>
        <w:t>:2020:865 (</w:t>
      </w:r>
      <w:r>
        <w:rPr>
          <w:i/>
          <w:iCs/>
          <w:sz w:val="18"/>
          <w:szCs w:val="18"/>
        </w:rPr>
        <w:t>NJCM and others v The State of the Netherlands</w:t>
      </w:r>
      <w:r>
        <w:rPr>
          <w:sz w:val="18"/>
          <w:szCs w:val="18"/>
        </w:rPr>
        <w:t>). The court held that the SyRI legislation violated Article 8 of the European Convention on Human Rights for want of proportionality and transparency.</w:t>
      </w:r>
    </w:p>
  </w:footnote>
  <w:footnote w:id="10">
    <w:p w14:paraId="6A259C47" w14:textId="77777777" w:rsidR="00A0090D" w:rsidRDefault="00941742">
      <w:pPr>
        <w:spacing w:after="60"/>
      </w:pPr>
      <w:r>
        <w:rPr>
          <w:rStyle w:val="FootnoteReference"/>
        </w:rPr>
        <w:footnoteRef/>
      </w:r>
      <w:r>
        <w:rPr>
          <w:sz w:val="18"/>
          <w:szCs w:val="18"/>
        </w:rPr>
        <w:t xml:space="preserve">Royal Commission into the </w:t>
      </w:r>
      <w:proofErr w:type="spellStart"/>
      <w:r>
        <w:rPr>
          <w:sz w:val="18"/>
          <w:szCs w:val="18"/>
        </w:rPr>
        <w:t>Robodebt</w:t>
      </w:r>
      <w:proofErr w:type="spellEnd"/>
      <w:r>
        <w:rPr>
          <w:sz w:val="18"/>
          <w:szCs w:val="18"/>
        </w:rPr>
        <w:t xml:space="preserve"> Scheme, </w:t>
      </w:r>
      <w:r>
        <w:rPr>
          <w:i/>
          <w:iCs/>
          <w:sz w:val="18"/>
          <w:szCs w:val="18"/>
        </w:rPr>
        <w:t>Report</w:t>
      </w:r>
      <w:r>
        <w:rPr>
          <w:sz w:val="18"/>
          <w:szCs w:val="18"/>
        </w:rPr>
        <w:t xml:space="preserve"> (Commonwealth of Australia, 7 July 2023), Commissioner Catherine Holmes AC SC. The Commission found that income-averaging was unlawful from the outset and that the affected persons were systematically denied procedural fairness.</w:t>
      </w:r>
    </w:p>
  </w:footnote>
  <w:footnote w:id="11">
    <w:p w14:paraId="3FE92E0E" w14:textId="77777777" w:rsidR="00A0090D" w:rsidRDefault="00941742">
      <w:pPr>
        <w:spacing w:after="60"/>
      </w:pPr>
      <w:r>
        <w:rPr>
          <w:rStyle w:val="FootnoteReference"/>
        </w:rPr>
        <w:footnoteRef/>
      </w:r>
      <w:r>
        <w:rPr>
          <w:sz w:val="18"/>
          <w:szCs w:val="18"/>
        </w:rPr>
        <w:t xml:space="preserve">Manish Raghavan, Solon Barocas, Jon Kleinberg and Karen Levy, ‘Mitigating Bias in Algorithmic Hiring: Evaluating Claims and Practices’ in </w:t>
      </w:r>
      <w:r>
        <w:rPr>
          <w:i/>
          <w:iCs/>
          <w:sz w:val="18"/>
          <w:szCs w:val="18"/>
        </w:rPr>
        <w:t>Proceedings of the 2020 Conference on Fairness, Accountability, and Transparency</w:t>
      </w:r>
      <w:r>
        <w:rPr>
          <w:sz w:val="18"/>
          <w:szCs w:val="18"/>
        </w:rPr>
        <w:t xml:space="preserve"> (FAT* 2020, ACM) 469. On </w:t>
      </w:r>
      <w:proofErr w:type="spellStart"/>
      <w:r>
        <w:rPr>
          <w:sz w:val="18"/>
          <w:szCs w:val="18"/>
        </w:rPr>
        <w:t>HireVue</w:t>
      </w:r>
      <w:proofErr w:type="spellEnd"/>
      <w:r>
        <w:rPr>
          <w:sz w:val="18"/>
          <w:szCs w:val="18"/>
        </w:rPr>
        <w:t xml:space="preserve"> see Will Knight, ‘Job Screening Service Halts Facial Analysis of Applicants’, </w:t>
      </w:r>
      <w:r>
        <w:rPr>
          <w:i/>
          <w:iCs/>
          <w:sz w:val="18"/>
          <w:szCs w:val="18"/>
        </w:rPr>
        <w:t>Wired</w:t>
      </w:r>
      <w:r>
        <w:rPr>
          <w:sz w:val="18"/>
          <w:szCs w:val="18"/>
        </w:rPr>
        <w:t xml:space="preserve"> (12 January 2021).</w:t>
      </w:r>
    </w:p>
  </w:footnote>
  <w:footnote w:id="12">
    <w:p w14:paraId="6F9895E4" w14:textId="77777777" w:rsidR="00A0090D" w:rsidRDefault="00941742">
      <w:pPr>
        <w:spacing w:after="60"/>
      </w:pPr>
      <w:r>
        <w:rPr>
          <w:rStyle w:val="FootnoteReference"/>
        </w:rPr>
        <w:footnoteRef/>
      </w:r>
      <w:r>
        <w:rPr>
          <w:sz w:val="18"/>
          <w:szCs w:val="18"/>
        </w:rPr>
        <w:t>Illinois Artificial Intelligence Video Interview Act, 820 ILCS 42 (effective 1 January 2020); New York City Local Law 144 of 2021, codified in NYC Administrative Code § 20-870 et seq. (enforcement effective 5 July 2023). On the AI Act’s treatment of recruitment AI see Annex III item 4(a) cited at (n 6) above.</w:t>
      </w:r>
    </w:p>
  </w:footnote>
  <w:footnote w:id="13">
    <w:p w14:paraId="4BBB3E9E" w14:textId="77777777" w:rsidR="00A0090D" w:rsidRDefault="00941742">
      <w:pPr>
        <w:spacing w:after="60"/>
      </w:pPr>
      <w:r>
        <w:rPr>
          <w:rStyle w:val="FootnoteReference"/>
        </w:rPr>
        <w:footnoteRef/>
      </w:r>
      <w:r>
        <w:rPr>
          <w:sz w:val="18"/>
          <w:szCs w:val="18"/>
        </w:rPr>
        <w:t xml:space="preserve">Dylan Slack, Sophie Hilgard, Emily Jia, Sameer Singh and Himabindu </w:t>
      </w:r>
      <w:proofErr w:type="spellStart"/>
      <w:r>
        <w:rPr>
          <w:sz w:val="18"/>
          <w:szCs w:val="18"/>
        </w:rPr>
        <w:t>Lakkaraju</w:t>
      </w:r>
      <w:proofErr w:type="spellEnd"/>
      <w:r>
        <w:rPr>
          <w:sz w:val="18"/>
          <w:szCs w:val="18"/>
        </w:rPr>
        <w:t xml:space="preserve">, ‘Fooling LIME and SHAP: Adversarial Attacks on Post Hoc Explanation Methods’ in </w:t>
      </w:r>
      <w:r>
        <w:rPr>
          <w:i/>
          <w:iCs/>
          <w:sz w:val="18"/>
          <w:szCs w:val="18"/>
        </w:rPr>
        <w:t>Proceedings of the AAAI/ACM Conference on AI, Ethics, and Society</w:t>
      </w:r>
      <w:r>
        <w:rPr>
          <w:sz w:val="18"/>
          <w:szCs w:val="18"/>
        </w:rPr>
        <w:t xml:space="preserve"> (AIES 2020) 180.</w:t>
      </w:r>
    </w:p>
  </w:footnote>
  <w:footnote w:id="14">
    <w:p w14:paraId="695E17BA" w14:textId="77777777" w:rsidR="00A0090D" w:rsidRDefault="00941742">
      <w:pPr>
        <w:spacing w:after="60"/>
      </w:pPr>
      <w:r>
        <w:rPr>
          <w:rStyle w:val="FootnoteReference"/>
        </w:rPr>
        <w:footnoteRef/>
      </w:r>
      <w:r>
        <w:rPr>
          <w:sz w:val="18"/>
          <w:szCs w:val="18"/>
        </w:rPr>
        <w:t xml:space="preserve">Umang Bhatt and others, ‘Explainable Machine Learning in Deployment’ in </w:t>
      </w:r>
      <w:r>
        <w:rPr>
          <w:i/>
          <w:iCs/>
          <w:sz w:val="18"/>
          <w:szCs w:val="18"/>
        </w:rPr>
        <w:t>Proceedings of the 2020 Conference on Fairness, Accountability, and Transparency</w:t>
      </w:r>
      <w:r>
        <w:rPr>
          <w:sz w:val="18"/>
          <w:szCs w:val="18"/>
        </w:rPr>
        <w:t xml:space="preserve"> (</w:t>
      </w:r>
      <w:proofErr w:type="spellStart"/>
      <w:r>
        <w:rPr>
          <w:sz w:val="18"/>
          <w:szCs w:val="18"/>
        </w:rPr>
        <w:t>FAccT</w:t>
      </w:r>
      <w:proofErr w:type="spellEnd"/>
      <w:r>
        <w:rPr>
          <w:sz w:val="18"/>
          <w:szCs w:val="18"/>
        </w:rPr>
        <w:t xml:space="preserve"> 2020, ACM) 648.</w:t>
      </w:r>
    </w:p>
  </w:footnote>
  <w:footnote w:id="15">
    <w:p w14:paraId="59C11CBA" w14:textId="77777777" w:rsidR="00A0090D" w:rsidRDefault="00941742">
      <w:pPr>
        <w:spacing w:after="60"/>
      </w:pPr>
      <w:r>
        <w:rPr>
          <w:rStyle w:val="FootnoteReference"/>
        </w:rPr>
        <w:footnoteRef/>
      </w:r>
      <w:r>
        <w:rPr>
          <w:sz w:val="18"/>
          <w:szCs w:val="18"/>
        </w:rPr>
        <w:t xml:space="preserve">Gagan Bansal, </w:t>
      </w:r>
      <w:proofErr w:type="spellStart"/>
      <w:r>
        <w:rPr>
          <w:sz w:val="18"/>
          <w:szCs w:val="18"/>
        </w:rPr>
        <w:t>Tongshuang</w:t>
      </w:r>
      <w:proofErr w:type="spellEnd"/>
      <w:r>
        <w:rPr>
          <w:sz w:val="18"/>
          <w:szCs w:val="18"/>
        </w:rPr>
        <w:t xml:space="preserve"> Wu, Joyce Zhou, Raymond Fok, Besmira Nushi, Ece Kamar, Marco Tulio Ribeiro and Daniel S. Weld, ‘Does the Whole Exceed Its Parts? The Effect of AI Explanations on Complementary Team Performance’ in </w:t>
      </w:r>
      <w:r>
        <w:rPr>
          <w:i/>
          <w:iCs/>
          <w:sz w:val="18"/>
          <w:szCs w:val="18"/>
        </w:rPr>
        <w:t>Proceedings of the 2021 CHI Conference on Human Factors in Computing Systems</w:t>
      </w:r>
      <w:r>
        <w:rPr>
          <w:sz w:val="18"/>
          <w:szCs w:val="18"/>
        </w:rPr>
        <w:t xml:space="preserve"> (CHI 2021, ACM) 81.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AD96" w14:textId="77777777" w:rsidR="00A0090D" w:rsidRDefault="00941742">
    <w:pPr>
      <w:jc w:val="right"/>
    </w:pPr>
    <w:r>
      <w:rPr>
        <w:i/>
        <w:iCs/>
        <w:color w:val="595959"/>
        <w:sz w:val="18"/>
        <w:szCs w:val="18"/>
      </w:rPr>
      <w:t>Session 4 Reading · Artificial Cognition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E3094"/>
    <w:multiLevelType w:val="hybridMultilevel"/>
    <w:tmpl w:val="A60EEEF8"/>
    <w:lvl w:ilvl="0" w:tplc="63B219E2">
      <w:start w:val="1"/>
      <w:numFmt w:val="bullet"/>
      <w:lvlText w:val="●"/>
      <w:lvlJc w:val="left"/>
      <w:pPr>
        <w:ind w:left="720" w:hanging="360"/>
      </w:pPr>
    </w:lvl>
    <w:lvl w:ilvl="1" w:tplc="380EE36A">
      <w:start w:val="1"/>
      <w:numFmt w:val="bullet"/>
      <w:lvlText w:val="○"/>
      <w:lvlJc w:val="left"/>
      <w:pPr>
        <w:ind w:left="1440" w:hanging="360"/>
      </w:pPr>
    </w:lvl>
    <w:lvl w:ilvl="2" w:tplc="03E601F2">
      <w:start w:val="1"/>
      <w:numFmt w:val="bullet"/>
      <w:lvlText w:val="■"/>
      <w:lvlJc w:val="left"/>
      <w:pPr>
        <w:ind w:left="2160" w:hanging="360"/>
      </w:pPr>
    </w:lvl>
    <w:lvl w:ilvl="3" w:tplc="1D8CE772">
      <w:start w:val="1"/>
      <w:numFmt w:val="bullet"/>
      <w:lvlText w:val="●"/>
      <w:lvlJc w:val="left"/>
      <w:pPr>
        <w:ind w:left="2880" w:hanging="360"/>
      </w:pPr>
    </w:lvl>
    <w:lvl w:ilvl="4" w:tplc="84AA048E">
      <w:start w:val="1"/>
      <w:numFmt w:val="bullet"/>
      <w:lvlText w:val="○"/>
      <w:lvlJc w:val="left"/>
      <w:pPr>
        <w:ind w:left="3600" w:hanging="360"/>
      </w:pPr>
    </w:lvl>
    <w:lvl w:ilvl="5" w:tplc="3B92B0DA">
      <w:start w:val="1"/>
      <w:numFmt w:val="bullet"/>
      <w:lvlText w:val="■"/>
      <w:lvlJc w:val="left"/>
      <w:pPr>
        <w:ind w:left="4320" w:hanging="360"/>
      </w:pPr>
    </w:lvl>
    <w:lvl w:ilvl="6" w:tplc="0DDAB328">
      <w:start w:val="1"/>
      <w:numFmt w:val="bullet"/>
      <w:lvlText w:val="●"/>
      <w:lvlJc w:val="left"/>
      <w:pPr>
        <w:ind w:left="5040" w:hanging="360"/>
      </w:pPr>
    </w:lvl>
    <w:lvl w:ilvl="7" w:tplc="9114517E">
      <w:start w:val="1"/>
      <w:numFmt w:val="bullet"/>
      <w:lvlText w:val="●"/>
      <w:lvlJc w:val="left"/>
      <w:pPr>
        <w:ind w:left="5760" w:hanging="360"/>
      </w:pPr>
    </w:lvl>
    <w:lvl w:ilvl="8" w:tplc="CA163A48">
      <w:start w:val="1"/>
      <w:numFmt w:val="bullet"/>
      <w:lvlText w:val="●"/>
      <w:lvlJc w:val="left"/>
      <w:pPr>
        <w:ind w:left="6480" w:hanging="360"/>
      </w:pPr>
    </w:lvl>
  </w:abstractNum>
  <w:abstractNum w:abstractNumId="1" w15:restartNumberingAfterBreak="0">
    <w:nsid w:val="48EA7308"/>
    <w:multiLevelType w:val="hybridMultilevel"/>
    <w:tmpl w:val="B03684AC"/>
    <w:lvl w:ilvl="0" w:tplc="196A63B0">
      <w:start w:val="1"/>
      <w:numFmt w:val="bullet"/>
      <w:lvlText w:val="•"/>
      <w:lvlJc w:val="left"/>
      <w:pPr>
        <w:ind w:left="720" w:hanging="360"/>
      </w:pPr>
    </w:lvl>
    <w:lvl w:ilvl="1" w:tplc="B114B906">
      <w:numFmt w:val="decimal"/>
      <w:lvlText w:val=""/>
      <w:lvlJc w:val="left"/>
    </w:lvl>
    <w:lvl w:ilvl="2" w:tplc="B08C8CDC">
      <w:numFmt w:val="decimal"/>
      <w:lvlText w:val=""/>
      <w:lvlJc w:val="left"/>
    </w:lvl>
    <w:lvl w:ilvl="3" w:tplc="588EB8CE">
      <w:numFmt w:val="decimal"/>
      <w:lvlText w:val=""/>
      <w:lvlJc w:val="left"/>
    </w:lvl>
    <w:lvl w:ilvl="4" w:tplc="283E4264">
      <w:numFmt w:val="decimal"/>
      <w:lvlText w:val=""/>
      <w:lvlJc w:val="left"/>
    </w:lvl>
    <w:lvl w:ilvl="5" w:tplc="4BB86022">
      <w:numFmt w:val="decimal"/>
      <w:lvlText w:val=""/>
      <w:lvlJc w:val="left"/>
    </w:lvl>
    <w:lvl w:ilvl="6" w:tplc="72F0E6D8">
      <w:numFmt w:val="decimal"/>
      <w:lvlText w:val=""/>
      <w:lvlJc w:val="left"/>
    </w:lvl>
    <w:lvl w:ilvl="7" w:tplc="8BEA20D8">
      <w:numFmt w:val="decimal"/>
      <w:lvlText w:val=""/>
      <w:lvlJc w:val="left"/>
    </w:lvl>
    <w:lvl w:ilvl="8" w:tplc="64941D62">
      <w:numFmt w:val="decimal"/>
      <w:lvlText w:val=""/>
      <w:lvlJc w:val="left"/>
    </w:lvl>
  </w:abstractNum>
  <w:abstractNum w:abstractNumId="2" w15:restartNumberingAfterBreak="0">
    <w:nsid w:val="51FF741F"/>
    <w:multiLevelType w:val="hybridMultilevel"/>
    <w:tmpl w:val="4972FCA0"/>
    <w:lvl w:ilvl="0" w:tplc="0D74697C">
      <w:start w:val="1"/>
      <w:numFmt w:val="decimal"/>
      <w:lvlText w:val="%1."/>
      <w:lvlJc w:val="left"/>
      <w:pPr>
        <w:ind w:left="720" w:hanging="360"/>
      </w:pPr>
    </w:lvl>
    <w:lvl w:ilvl="1" w:tplc="3E607290">
      <w:numFmt w:val="decimal"/>
      <w:lvlText w:val=""/>
      <w:lvlJc w:val="left"/>
    </w:lvl>
    <w:lvl w:ilvl="2" w:tplc="7E8C587C">
      <w:numFmt w:val="decimal"/>
      <w:lvlText w:val=""/>
      <w:lvlJc w:val="left"/>
    </w:lvl>
    <w:lvl w:ilvl="3" w:tplc="02664018">
      <w:numFmt w:val="decimal"/>
      <w:lvlText w:val=""/>
      <w:lvlJc w:val="left"/>
    </w:lvl>
    <w:lvl w:ilvl="4" w:tplc="55AE5730">
      <w:numFmt w:val="decimal"/>
      <w:lvlText w:val=""/>
      <w:lvlJc w:val="left"/>
    </w:lvl>
    <w:lvl w:ilvl="5" w:tplc="3BC092D6">
      <w:numFmt w:val="decimal"/>
      <w:lvlText w:val=""/>
      <w:lvlJc w:val="left"/>
    </w:lvl>
    <w:lvl w:ilvl="6" w:tplc="99BC3D86">
      <w:numFmt w:val="decimal"/>
      <w:lvlText w:val=""/>
      <w:lvlJc w:val="left"/>
    </w:lvl>
    <w:lvl w:ilvl="7" w:tplc="8FB0C868">
      <w:numFmt w:val="decimal"/>
      <w:lvlText w:val=""/>
      <w:lvlJc w:val="left"/>
    </w:lvl>
    <w:lvl w:ilvl="8" w:tplc="E1BCA33E">
      <w:numFmt w:val="decimal"/>
      <w:lvlText w:val=""/>
      <w:lvlJc w:val="left"/>
    </w:lvl>
  </w:abstractNum>
  <w:num w:numId="1" w16cid:durableId="152332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90D"/>
    <w:rsid w:val="007106B5"/>
    <w:rsid w:val="00941742"/>
    <w:rsid w:val="00A0090D"/>
    <w:rsid w:val="00D14A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7029"/>
  <w15:docId w15:val="{B2C750A1-F810-48BA-8D8B-EEEB5C29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semiHidden/>
    <w:unhideWhenUsed/>
    <w:qFormat/>
    <w:pPr>
      <w:spacing w:before="240" w:after="140"/>
      <w:outlineLvl w:val="1"/>
    </w:pPr>
    <w:rPr>
      <w:b/>
      <w:bCs/>
      <w:color w:val="1F3864"/>
      <w:sz w:val="26"/>
      <w:szCs w:val="26"/>
    </w:rPr>
  </w:style>
  <w:style w:type="paragraph" w:styleId="Heading3">
    <w:name w:val="heading 3"/>
    <w:uiPriority w:val="9"/>
    <w:semiHidden/>
    <w:unhideWhenUsed/>
    <w:qFormat/>
    <w:pPr>
      <w:spacing w:before="200" w:after="120"/>
      <w:outlineLvl w:val="2"/>
    </w:pPr>
    <w:rPr>
      <w:b/>
      <w:bCs/>
      <w:i/>
      <w:i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26B05198F3D48B88BEA1277B2DC12" ma:contentTypeVersion="3" ma:contentTypeDescription="Create a new document." ma:contentTypeScope="" ma:versionID="ce3acd17e63902ee587038a7f0c30aaf">
  <xsd:schema xmlns:xsd="http://www.w3.org/2001/XMLSchema" xmlns:xs="http://www.w3.org/2001/XMLSchema" xmlns:p="http://schemas.microsoft.com/office/2006/metadata/properties" xmlns:ns2="5d349878-cacb-4bb0-a51b-ea975e0bb00e" targetNamespace="http://schemas.microsoft.com/office/2006/metadata/properties" ma:root="true" ma:fieldsID="6eabf5968aae1c7e45605c0e250bc3c2" ns2:_="">
    <xsd:import namespace="5d349878-cacb-4bb0-a51b-ea975e0bb0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49878-cacb-4bb0-a51b-ea975e0bb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5A27A5-13F2-43E8-889B-2B5BAAD17D38}"/>
</file>

<file path=customXml/itemProps2.xml><?xml version="1.0" encoding="utf-8"?>
<ds:datastoreItem xmlns:ds="http://schemas.openxmlformats.org/officeDocument/2006/customXml" ds:itemID="{2571E938-D1CA-4E93-AEB4-C422FC972D0A}"/>
</file>

<file path=customXml/itemProps3.xml><?xml version="1.0" encoding="utf-8"?>
<ds:datastoreItem xmlns:ds="http://schemas.openxmlformats.org/officeDocument/2006/customXml" ds:itemID="{CD16C74F-1FCE-4814-9B18-16CCA18A8606}"/>
</file>

<file path=docProps/app.xml><?xml version="1.0" encoding="utf-8"?>
<Properties xmlns="http://schemas.openxmlformats.org/officeDocument/2006/extended-properties" xmlns:vt="http://schemas.openxmlformats.org/officeDocument/2006/docPropsVTypes">
  <Template>Normal</Template>
  <TotalTime>59</TotalTime>
  <Pages>13</Pages>
  <Words>4663</Words>
  <Characters>27331</Characters>
  <Application>Microsoft Office Word</Application>
  <DocSecurity>0</DocSecurity>
  <Lines>463</Lines>
  <Paragraphs>133</Paragraphs>
  <ScaleCrop>false</ScaleCrop>
  <Company/>
  <LinksUpToDate>false</LinksUpToDate>
  <CharactersWithSpaces>31861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Toolkit to Terrain — XAI in Healthcare, Finance, Manufacturing, and the Public Sector</dc:title>
  <dc:creator>Fernando Marmolejo-Ramos</dc:creator>
  <cp:lastModifiedBy>Fernando Marmolejo Ramos</cp:lastModifiedBy>
  <cp:revision>2</cp:revision>
  <dcterms:created xsi:type="dcterms:W3CDTF">2026-06-10T07:04:00Z</dcterms:created>
  <dcterms:modified xsi:type="dcterms:W3CDTF">2026-06-11T07:20:00Z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0x010100A6B26B05198F3D48B88BEA1277B2DC12</vt:lpwstr>
  </property>
</Properties>
</file>