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15DF" w14:textId="77777777" w:rsidR="008605A2" w:rsidRDefault="006C00E3">
      <w:pPr>
        <w:spacing w:after="200"/>
        <w:jc w:val="center"/>
      </w:pPr>
      <w:r>
        <w:rPr>
          <w:b/>
          <w:bCs/>
          <w:color w:val="1F3864"/>
          <w:sz w:val="32"/>
          <w:szCs w:val="32"/>
        </w:rPr>
        <w:t>Governing the Glass Box: Ethics, Bias, and the Institutional Architecture of Responsible AI</w:t>
      </w:r>
    </w:p>
    <w:p w14:paraId="226DF909" w14:textId="77777777" w:rsidR="008605A2" w:rsidRDefault="006C00E3">
      <w:pPr>
        <w:spacing w:after="320"/>
        <w:jc w:val="center"/>
      </w:pPr>
      <w:r>
        <w:rPr>
          <w:i/>
          <w:iCs/>
          <w:color w:val="595959"/>
        </w:rPr>
        <w:t>Session 5 Reading — Artificial Cognition and Explainable AI (5-Day Intensive)</w:t>
      </w:r>
    </w:p>
    <w:p w14:paraId="6FF78CC2" w14:textId="77777777" w:rsidR="008605A2" w:rsidRDefault="006C00E3">
      <w:pPr>
        <w:spacing w:before="80" w:after="200"/>
        <w:jc w:val="center"/>
      </w:pPr>
      <w:r>
        <w:rPr>
          <w:color w:val="BFBFBF"/>
          <w:sz w:val="18"/>
          <w:szCs w:val="18"/>
        </w:rPr>
        <w:t>————————————————————————————————————————</w:t>
      </w:r>
    </w:p>
    <w:p w14:paraId="06DFDB0D" w14:textId="77777777" w:rsidR="008605A2" w:rsidRDefault="006C00E3">
      <w:pPr>
        <w:pStyle w:val="Heading1"/>
        <w:spacing w:before="280" w:after="160"/>
      </w:pPr>
      <w:r>
        <w:t>Abstract</w:t>
      </w:r>
    </w:p>
    <w:p w14:paraId="54E33CD7" w14:textId="77777777" w:rsidR="008605A2" w:rsidRDefault="006C00E3">
      <w:pPr>
        <w:spacing w:after="160" w:line="300" w:lineRule="auto"/>
        <w:jc w:val="both"/>
      </w:pPr>
      <w:r>
        <w:t>The course closes where responsibility begins. Sessions 1–4 established what AI systems are, what explanations they can give, which techniques produce those explanations, and how deployment shapes their requirements. This final reading asks what must surround the technology for it to be used responsibly. It opens with the anatomy of algorithmic bias — where bias enters the pipeline, the landmark demonstrations (Gender Shades, the Obermeyer health-algorithm study, COMPAS), and the uncomfortable mathematics o</w:t>
      </w:r>
      <w:r>
        <w:t>f fairness criteria that cannot all be satisfied at once. It then shows how the XAI toolkit of Session 3 doubles as a bias-detection instrument. The middle sections survey the institutional architecture: the EU AI Act’s four-tier risk pyramid examined in detail; the global regulatory landscape from GDPR to the U.S. sectoral patchwork to Australia’s guardrails approach; and the internal governance machinery — roles, documentation artefacts, audit cycles, incident response — that conformity requires. The read</w:t>
      </w:r>
      <w:r>
        <w:t>ing closes with the field’s open frontiers (causal XAI, interpretability of large language models, multimodal explanation) and a map of the ethical tensions that no checklist resolves, returning in the final pages to the artificial-cognition framing with which the course began.</w:t>
      </w:r>
    </w:p>
    <w:p w14:paraId="2CA1EA02" w14:textId="77777777" w:rsidR="008605A2" w:rsidRDefault="006C00E3">
      <w:pPr>
        <w:spacing w:after="160" w:line="300" w:lineRule="auto"/>
        <w:jc w:val="both"/>
      </w:pPr>
      <w:r>
        <w:rPr>
          <w:b/>
          <w:bCs/>
        </w:rPr>
        <w:t xml:space="preserve">Keywords: </w:t>
      </w:r>
      <w:r>
        <w:t>algorithmic bias; fairness metrics; AI governance; EU AI Act; responsible AI</w:t>
      </w:r>
    </w:p>
    <w:p w14:paraId="5A9B29C3" w14:textId="77777777" w:rsidR="008605A2" w:rsidRDefault="006C00E3">
      <w:pPr>
        <w:spacing w:before="80" w:after="200"/>
        <w:jc w:val="center"/>
      </w:pPr>
      <w:r>
        <w:rPr>
          <w:color w:val="BFBFBF"/>
          <w:sz w:val="18"/>
          <w:szCs w:val="18"/>
        </w:rPr>
        <w:t>————————————————————————————————————————</w:t>
      </w:r>
    </w:p>
    <w:p w14:paraId="0D9E1248" w14:textId="77777777" w:rsidR="008605A2" w:rsidRDefault="006C00E3">
      <w:pPr>
        <w:pStyle w:val="Heading1"/>
        <w:spacing w:before="280" w:after="160"/>
      </w:pPr>
      <w:r>
        <w:t>1. Where responsibility begins</w:t>
      </w:r>
    </w:p>
    <w:p w14:paraId="043011FA" w14:textId="77777777" w:rsidR="008605A2" w:rsidRDefault="006C00E3">
      <w:pPr>
        <w:spacing w:after="160" w:line="300" w:lineRule="auto"/>
        <w:jc w:val="both"/>
      </w:pPr>
      <w:r>
        <w:t>Every reading in this course has ended by pointing forward; this one ends by pointing outward. The toolkit of Session 3 and the sectoral lessons of Session 4 established what XAI can do inside an organisation. This final session asks the institutional question: what must surround the technology — what roles, processes, documents, audits, and ethical commitments — for an organisation to deploy AI responsibly? The question is not rhetorical. Robodebt was not a failure of machine learning; the algorithm was ar</w:t>
      </w:r>
      <w:r>
        <w:t>ithmetically trivial. It was a failure of governance: of legal review, of escalation channels, of procedural fairness, of the institutional willingness to hear bad news. The technical material of this course is necessary. This session is about why it is not sufficient.</w:t>
      </w:r>
    </w:p>
    <w:p w14:paraId="432E51AD" w14:textId="77777777" w:rsidR="008605A2" w:rsidRDefault="006C00E3">
      <w:pPr>
        <w:spacing w:after="160" w:line="300" w:lineRule="auto"/>
        <w:jc w:val="both"/>
      </w:pPr>
      <w:r>
        <w:t xml:space="preserve">We proceed in five movements: the anatomy of bias (where it comes from, how it is measured, why fairness definitions conflict); bias detection and mitigation with the XAI toolkit; the regulatory architecture, with the EU AI Act as the centrepiece and the global landscape around it; the internal </w:t>
      </w:r>
      <w:r>
        <w:lastRenderedPageBreak/>
        <w:t>governance machinery an organisation must build; and the open frontiers and ethical tensions that remain after every checklist is complete.</w:t>
      </w:r>
    </w:p>
    <w:p w14:paraId="630039FB" w14:textId="77777777" w:rsidR="008605A2" w:rsidRDefault="006C00E3">
      <w:pPr>
        <w:pStyle w:val="Heading1"/>
        <w:spacing w:before="280" w:after="160"/>
      </w:pPr>
      <w:r>
        <w:t>2. The anatomy of algorithmic bias</w:t>
      </w:r>
    </w:p>
    <w:p w14:paraId="1ABD2DC0" w14:textId="77777777" w:rsidR="008605A2" w:rsidRDefault="006C00E3">
      <w:pPr>
        <w:spacing w:after="160" w:line="300" w:lineRule="auto"/>
        <w:jc w:val="both"/>
      </w:pPr>
      <w:r>
        <w:t>“Bias” in machine learning is not one thing. It enters the pipeline at four distinct points, and the remedy differs at each.</w:t>
      </w:r>
    </w:p>
    <w:p w14:paraId="6690D0E0" w14:textId="77777777" w:rsidR="008605A2" w:rsidRDefault="006C00E3">
      <w:pPr>
        <w:spacing w:after="160" w:line="300" w:lineRule="auto"/>
        <w:jc w:val="both"/>
      </w:pPr>
      <w:r>
        <w:rPr>
          <w:b/>
          <w:bCs/>
        </w:rPr>
        <w:t>Data bias</w:t>
      </w:r>
      <w:r>
        <w:t xml:space="preserve"> arises when the training data misrepresent the world. The misrepresentation can be a sampling artefact — a face-recognition training set dominated by lighter-skinned male faces — or a faithful record of an unjust world, as when historical lending data encode decades of discriminatory practice. The most cited demonstration is Joy Buolamwini and Timnit Gebru’s </w:t>
      </w:r>
      <w:r>
        <w:rPr>
          <w:i/>
          <w:iCs/>
        </w:rPr>
        <w:t>Gender Shades</w:t>
      </w:r>
      <w:r>
        <w:t xml:space="preserve"> study, which evaluated three commercial gender-classification systems and found error rates of up to 34.7 percent for darker-skinned wom</w:t>
      </w:r>
      <w:r>
        <w:t>en against less than 1 percent for lighter-skinned men.</w:t>
      </w:r>
      <w:r>
        <w:rPr>
          <w:rStyle w:val="FootnoteReference"/>
        </w:rPr>
        <w:footnoteReference w:id="1"/>
      </w:r>
      <w:r>
        <w:t xml:space="preserve"> The systems had not been designed to discriminate; their training data had under-represented the faces on which they failed.</w:t>
      </w:r>
    </w:p>
    <w:p w14:paraId="5CAA0F12" w14:textId="77777777" w:rsidR="008605A2" w:rsidRDefault="006C00E3">
      <w:pPr>
        <w:spacing w:after="160" w:line="300" w:lineRule="auto"/>
        <w:jc w:val="both"/>
      </w:pPr>
      <w:r>
        <w:rPr>
          <w:b/>
          <w:bCs/>
        </w:rPr>
        <w:t>Label and proxy bias</w:t>
      </w:r>
      <w:r>
        <w:t xml:space="preserve"> arises when the variable the model predicts is a flawed stand-in for the thing that matters. The canonical demonstration is Ziad Obermeyer and colleagues’ 2019 </w:t>
      </w:r>
      <w:r>
        <w:rPr>
          <w:i/>
          <w:iCs/>
        </w:rPr>
        <w:t>Science</w:t>
      </w:r>
      <w:r>
        <w:t xml:space="preserve"> study of a commercial algorithm used to allocate care-management resources for roughly 200 million Americans annually. The algorithm predicted </w:t>
      </w:r>
      <w:r>
        <w:rPr>
          <w:i/>
          <w:iCs/>
        </w:rPr>
        <w:t>healthcare cost</w:t>
      </w:r>
      <w:r>
        <w:t xml:space="preserve"> as a proxy for </w:t>
      </w:r>
      <w:r>
        <w:rPr>
          <w:i/>
          <w:iCs/>
        </w:rPr>
        <w:t>healthcare need</w:t>
      </w:r>
      <w:r>
        <w:t>. Because less money is spent on Black patients at the same level of need, the proxy systematically understated Black patients’ need: at the same risk sco</w:t>
      </w:r>
      <w:r>
        <w:t>re, Black patients were considerably sicker, and the authors estimated that correcting the proxy would nearly triple the share of Black patients receiving additional help.</w:t>
      </w:r>
      <w:r>
        <w:rPr>
          <w:rStyle w:val="FootnoteReference"/>
        </w:rPr>
        <w:footnoteReference w:id="2"/>
      </w:r>
      <w:r>
        <w:t xml:space="preserve"> No protected attribute appeared in the model. The bias lived in the choice of label.</w:t>
      </w:r>
    </w:p>
    <w:p w14:paraId="0310FC63" w14:textId="77777777" w:rsidR="008605A2" w:rsidRDefault="006C00E3">
      <w:pPr>
        <w:spacing w:after="160" w:line="300" w:lineRule="auto"/>
        <w:jc w:val="both"/>
      </w:pPr>
      <w:r>
        <w:rPr>
          <w:b/>
          <w:bCs/>
        </w:rPr>
        <w:t>Learned and amplified bias</w:t>
      </w:r>
      <w:r>
        <w:t xml:space="preserve"> arises inside training, when the model discovers and exaggerates patterns in the data. The Amazon recruiting tool from Session 1 is the canonical case: trained on a decade of résumés from a male-dominated industry, the model learned to penalise the word “women’s” and to downgrade graduates of two all-women’s colleges.</w:t>
      </w:r>
      <w:r>
        <w:rPr>
          <w:rStyle w:val="FootnoteReference"/>
        </w:rPr>
        <w:footnoteReference w:id="3"/>
      </w:r>
      <w:r>
        <w:t xml:space="preserve"> Nobody asked it to. The objective function asked only for patterns predictive of past hiring, and gender was such a pattern.</w:t>
      </w:r>
    </w:p>
    <w:p w14:paraId="3DAF0315" w14:textId="77777777" w:rsidR="008605A2" w:rsidRDefault="006C00E3">
      <w:pPr>
        <w:spacing w:after="160" w:line="300" w:lineRule="auto"/>
        <w:jc w:val="both"/>
      </w:pPr>
      <w:r>
        <w:rPr>
          <w:b/>
          <w:bCs/>
        </w:rPr>
        <w:t>Deployment and feedback bias</w:t>
      </w:r>
      <w:r>
        <w:t xml:space="preserve"> arises after launch, when the model’s outputs shape the data it will later be trained on. Predictive-policing systems dispatched to neighbourhoods with high recorded crime generate more recorded crime in those neighbourhoods — because recording </w:t>
      </w:r>
      <w:r>
        <w:lastRenderedPageBreak/>
        <w:t>follows presence — which justifies more dispatch. The loop closes without any individual decision being malicious.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5A2" w14:paraId="320C8F6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79461639" w14:textId="77777777" w:rsidR="00082831" w:rsidRDefault="00082831" w:rsidP="00082831">
            <w:pPr>
              <w:spacing w:line="280" w:lineRule="auto"/>
              <w:rPr>
                <w:i/>
                <w:iCs/>
                <w:sz w:val="20"/>
                <w:szCs w:val="20"/>
              </w:rPr>
            </w:pPr>
            <w:r w:rsidRPr="007106B5">
              <w:rPr>
                <w:i/>
                <w:iCs/>
                <w:sz w:val="20"/>
                <w:szCs w:val="20"/>
                <w:highlight w:val="yellow"/>
              </w:rPr>
              <w:t>= to be done by participants =</w:t>
            </w:r>
          </w:p>
          <w:p w14:paraId="7E162168" w14:textId="676C9F1B" w:rsidR="008605A2" w:rsidRDefault="006C00E3">
            <w:pPr>
              <w:spacing w:line="280" w:lineRule="auto"/>
            </w:pPr>
            <w:r>
              <w:rPr>
                <w:i/>
                <w:iCs/>
                <w:sz w:val="20"/>
                <w:szCs w:val="20"/>
              </w:rPr>
              <w:t>Figure 1. Four entry points for bias in the machine-learning pipeline. A horizontal pipeline diagram with four stages: Data Collection → Label Definition → Model Training → Deployment. Below each stage, a callout names the bias type that enters there (sampling/representation bias; label and proxy bias; learned and amplified bias; feedback-loop bias) and the landmark case that demonstrated it (Gender Shades; the Obermeyer cost-as-proxy study; the Amazon recruiting tool; predictive policing). A feedback arrow</w:t>
            </w:r>
            <w:r>
              <w:rPr>
                <w:i/>
                <w:iCs/>
                <w:sz w:val="20"/>
                <w:szCs w:val="20"/>
              </w:rPr>
              <w:t xml:space="preserve"> loops from Deployment back to Data Collection, closing the cycle. The figure communicates that bias auditing must examine the whole pipeline, not just the trained model.</w:t>
            </w:r>
          </w:p>
        </w:tc>
      </w:tr>
    </w:tbl>
    <w:p w14:paraId="26E5A581" w14:textId="77777777" w:rsidR="008605A2" w:rsidRDefault="006C00E3">
      <w:pPr>
        <w:pStyle w:val="Heading3"/>
      </w:pPr>
      <w:r>
        <w:t>The impossibility at the heart of fairness</w:t>
      </w:r>
    </w:p>
    <w:p w14:paraId="530B05DA" w14:textId="77777777" w:rsidR="008605A2" w:rsidRDefault="006C00E3">
      <w:pPr>
        <w:spacing w:after="160" w:line="300" w:lineRule="auto"/>
        <w:jc w:val="both"/>
      </w:pPr>
      <w:r>
        <w:t>It is tempting to think the remedy is a fairness metric: measure disparity, fix it, done. The mathematics is less obliging. Following the COMPAS controversy from Session 1 — ProPublica’s finding that the recidivism instrument produced nearly twice the false-positive rate for Black defendants as for white defendants</w:t>
      </w:r>
      <w:r>
        <w:rPr>
          <w:rStyle w:val="FootnoteReference"/>
        </w:rPr>
        <w:footnoteReference w:id="4"/>
      </w:r>
      <w:r>
        <w:t xml:space="preserve"> — Jon Kleinberg, Sendhil Mullainathan and Manish Raghavan, and independently Alexandra Chouldechova, proved a striking impossibility result: when two groups differ in their base rates of the predicted outcome, no risk score can simultaneously be </w:t>
      </w:r>
      <w:r>
        <w:rPr>
          <w:i/>
          <w:iCs/>
        </w:rPr>
        <w:t>calibrated</w:t>
      </w:r>
      <w:r>
        <w:t xml:space="preserve"> within each group (a score of 7 means the same probability for everyone) and </w:t>
      </w:r>
      <w:r>
        <w:rPr>
          <w:i/>
          <w:iCs/>
        </w:rPr>
        <w:t>equalise error rates</w:t>
      </w:r>
      <w:r>
        <w:t xml:space="preserve"> (false positives and false negatives balanced across groups).</w:t>
      </w:r>
      <w:r>
        <w:rPr>
          <w:rStyle w:val="FootnoteReference"/>
        </w:rPr>
        <w:footnoteReference w:id="5"/>
      </w:r>
      <w:r>
        <w:t xml:space="preserve"> Northpointe, COMPAS’s maker, had defended the instrument as calibrated; ProPublica had condemned its unequal error rates. The theorem says both were right about their own metric and that no instrument could have satisfied both at once.</w:t>
      </w:r>
    </w:p>
    <w:p w14:paraId="68EC5AAD" w14:textId="77777777" w:rsidR="008605A2" w:rsidRDefault="006C00E3">
      <w:pPr>
        <w:spacing w:after="160" w:line="300" w:lineRule="auto"/>
        <w:jc w:val="both"/>
      </w:pPr>
      <w:r>
        <w:t xml:space="preserve">The implication for the practitioner is not despair but honesty: choosing a fairness criterion is a </w:t>
      </w:r>
      <w:r>
        <w:rPr>
          <w:i/>
          <w:iCs/>
        </w:rPr>
        <w:t>normative</w:t>
      </w:r>
      <w:r>
        <w:t xml:space="preserve"> choice, not a technical one. An organisation must decide — and document — which disparities it most needs to avoid, in consultation with the people affected. Sandra Wachter, Brent Mittelstadt and Chris Russell add a legal dimension: many technical fairness metrics, applied mechanically, would preserve the status quo that European non-discrimination law is designed to dismantle; they distinguish “bias-preserving” from “bias-transforming” metrics and argue EU law often requires the latter.</w:t>
      </w:r>
      <w:r>
        <w:rPr>
          <w:rStyle w:val="FootnoteReference"/>
        </w:rPr>
        <w:footnoteReference w:id="6"/>
      </w:r>
    </w:p>
    <w:p w14:paraId="4E5FA0EC" w14:textId="77777777" w:rsidR="008605A2" w:rsidRDefault="006C00E3">
      <w:pPr>
        <w:pStyle w:val="Heading1"/>
        <w:spacing w:before="280" w:after="160"/>
      </w:pPr>
      <w:r>
        <w:t>3. XAI as a bias-detection instrument</w:t>
      </w:r>
    </w:p>
    <w:p w14:paraId="45AD6429" w14:textId="77777777" w:rsidR="008605A2" w:rsidRDefault="006C00E3">
      <w:pPr>
        <w:spacing w:after="160" w:line="300" w:lineRule="auto"/>
        <w:jc w:val="both"/>
      </w:pPr>
      <w:r>
        <w:lastRenderedPageBreak/>
        <w:t>The toolkit of Session 3 was introduced as an explanation apparatus. It doubles as a bias-detection instrument, and this dual use is among the strongest practical arguments for building XAI capacity.</w:t>
      </w:r>
    </w:p>
    <w:p w14:paraId="27E85E59" w14:textId="77777777" w:rsidR="008605A2" w:rsidRDefault="006C00E3">
      <w:pPr>
        <w:spacing w:after="160" w:line="300" w:lineRule="auto"/>
        <w:jc w:val="both"/>
      </w:pPr>
      <w:r>
        <w:rPr>
          <w:b/>
          <w:bCs/>
        </w:rPr>
        <w:t>Global SHAP analysis disaggregated by group</w:t>
      </w:r>
      <w:r>
        <w:t xml:space="preserve"> is the workhorse. If a hiring model’s SHAP summary shows that a feature highly correlated with a protected attribute — postcode, university, an extracurricular keyword — carries heavy weight, the auditor has a concrete thread to pull. The Obermeyer study is, at heart, exactly this manoeuvre: ask what drives the score, notice the proxy, trace its disparate consequences.</w:t>
      </w:r>
    </w:p>
    <w:p w14:paraId="187853ED" w14:textId="77777777" w:rsidR="008605A2" w:rsidRDefault="006C00E3">
      <w:pPr>
        <w:spacing w:after="160" w:line="300" w:lineRule="auto"/>
        <w:jc w:val="both"/>
      </w:pPr>
      <w:r>
        <w:rPr>
          <w:b/>
          <w:bCs/>
        </w:rPr>
        <w:t>Counterfactual probing</w:t>
      </w:r>
      <w:r>
        <w:t xml:space="preserve"> operationalises the most intuitive fairness test: would the decision have changed had the applicant differed only in a protected attribute (or its proxies)? Flipping attributes and proxies systematically across a test population converts a philosophical question into a measurable audit. Counterfactuals also expose proxy chains: if changing the postcode flips the decision, and postcode correlates with ethnicity, the audit has found something the disparate-impact statistics alone might miss.</w:t>
      </w:r>
    </w:p>
    <w:p w14:paraId="5B386B89" w14:textId="77777777" w:rsidR="008605A2" w:rsidRDefault="006C00E3">
      <w:pPr>
        <w:spacing w:after="160" w:line="300" w:lineRule="auto"/>
        <w:jc w:val="both"/>
      </w:pPr>
      <w:r>
        <w:rPr>
          <w:b/>
          <w:bCs/>
        </w:rPr>
        <w:t>Saliency methods</w:t>
      </w:r>
      <w:r>
        <w:t xml:space="preserve"> play the equivalent role for vision systems. Gender Shades measured the disparity; Grad-CAM-style attention analysis helps diagnose it — is the classifier attending to facial structure, or to skin regions where its training distribution was thin? Subgroup-disaggregated attention maps have become a standard artefact in face-analysis audits.</w:t>
      </w:r>
    </w:p>
    <w:p w14:paraId="1E8248B4" w14:textId="77777777" w:rsidR="008605A2" w:rsidRDefault="006C00E3">
      <w:pPr>
        <w:spacing w:after="160" w:line="300" w:lineRule="auto"/>
        <w:jc w:val="both"/>
      </w:pPr>
      <w:r>
        <w:t xml:space="preserve">Mitigation follows detection, and the menu is conventionally sorted by pipeline stage: </w:t>
      </w:r>
      <w:r>
        <w:rPr>
          <w:i/>
          <w:iCs/>
        </w:rPr>
        <w:t>pre-processing</w:t>
      </w:r>
      <w:r>
        <w:t xml:space="preserve"> (rebalance or reweight training data; repair labels — in the Obermeyer case, predicting active chronic conditions instead of cost removed most of the disparity), </w:t>
      </w:r>
      <w:r>
        <w:rPr>
          <w:i/>
          <w:iCs/>
        </w:rPr>
        <w:t>in-processing</w:t>
      </w:r>
      <w:r>
        <w:t xml:space="preserve"> (add fairness constraints to the training objective), and </w:t>
      </w:r>
      <w:r>
        <w:rPr>
          <w:i/>
          <w:iCs/>
        </w:rPr>
        <w:t>post-processing</w:t>
      </w:r>
      <w:r>
        <w:t xml:space="preserve"> (adjust thresholds per group, where law permits). Each carries trade-offs in accuracy, legality, and intelligibility, and none substitutes for the question that precedes all metrics: is the label right, and should this decision be automated at all</w:t>
      </w:r>
      <w:r>
        <w:t>?</w:t>
      </w:r>
    </w:p>
    <w:p w14:paraId="072BE461" w14:textId="77777777" w:rsidR="008605A2" w:rsidRDefault="006C00E3">
      <w:pPr>
        <w:spacing w:before="240" w:after="100"/>
      </w:pPr>
      <w:r>
        <w:rPr>
          <w:i/>
          <w:iCs/>
          <w:sz w:val="20"/>
          <w:szCs w:val="20"/>
        </w:rPr>
        <w:t>Table 1. Bias types, landmark cases, detection instruments, and characteristic remedies.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150"/>
        <w:gridCol w:w="2730"/>
        <w:gridCol w:w="2730"/>
      </w:tblGrid>
      <w:tr w:rsidR="008605A2" w14:paraId="48D72829" w14:textId="77777777">
        <w:tblPrEx>
          <w:tblCellMar>
            <w:top w:w="0" w:type="dxa"/>
            <w:bottom w:w="0" w:type="dxa"/>
          </w:tblCellMar>
        </w:tblPrEx>
        <w:trPr>
          <w:cantSplit/>
          <w:tblHeader/>
        </w:trPr>
        <w:tc>
          <w:tcPr>
            <w:tcW w:w="175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39E51F8D" w14:textId="77777777" w:rsidR="008605A2" w:rsidRDefault="006C00E3">
            <w:pPr>
              <w:spacing w:line="260" w:lineRule="auto"/>
            </w:pPr>
            <w:r>
              <w:rPr>
                <w:b/>
                <w:bCs/>
                <w:sz w:val="18"/>
                <w:szCs w:val="18"/>
              </w:rPr>
              <w:t>Bias type</w:t>
            </w:r>
          </w:p>
        </w:tc>
        <w:tc>
          <w:tcPr>
            <w:tcW w:w="215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25F8348C" w14:textId="77777777" w:rsidR="008605A2" w:rsidRDefault="006C00E3">
            <w:pPr>
              <w:spacing w:line="260" w:lineRule="auto"/>
            </w:pPr>
            <w:r>
              <w:rPr>
                <w:b/>
                <w:bCs/>
                <w:sz w:val="18"/>
                <w:szCs w:val="18"/>
              </w:rPr>
              <w:t>Landmark case</w:t>
            </w:r>
          </w:p>
        </w:tc>
        <w:tc>
          <w:tcPr>
            <w:tcW w:w="273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3E04ADE9" w14:textId="77777777" w:rsidR="008605A2" w:rsidRDefault="006C00E3">
            <w:pPr>
              <w:spacing w:line="260" w:lineRule="auto"/>
            </w:pPr>
            <w:r>
              <w:rPr>
                <w:b/>
                <w:bCs/>
                <w:sz w:val="18"/>
                <w:szCs w:val="18"/>
              </w:rPr>
              <w:t>Detection instrument</w:t>
            </w:r>
          </w:p>
        </w:tc>
        <w:tc>
          <w:tcPr>
            <w:tcW w:w="273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54908F52" w14:textId="77777777" w:rsidR="008605A2" w:rsidRDefault="006C00E3">
            <w:pPr>
              <w:spacing w:line="260" w:lineRule="auto"/>
            </w:pPr>
            <w:r>
              <w:rPr>
                <w:b/>
                <w:bCs/>
                <w:sz w:val="18"/>
                <w:szCs w:val="18"/>
              </w:rPr>
              <w:t>Characteristic remedy</w:t>
            </w:r>
          </w:p>
        </w:tc>
      </w:tr>
      <w:tr w:rsidR="008605A2" w14:paraId="32BA8851" w14:textId="77777777">
        <w:tblPrEx>
          <w:tblCellMar>
            <w:top w:w="0" w:type="dxa"/>
            <w:bottom w:w="0" w:type="dxa"/>
          </w:tblCellMar>
        </w:tblPrEx>
        <w:trPr>
          <w:cantSplit/>
        </w:trPr>
        <w:tc>
          <w:tcPr>
            <w:tcW w:w="17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12C91E7" w14:textId="77777777" w:rsidR="008605A2" w:rsidRDefault="006C00E3">
            <w:pPr>
              <w:spacing w:line="260" w:lineRule="auto"/>
            </w:pPr>
            <w:r>
              <w:rPr>
                <w:b/>
                <w:bCs/>
                <w:sz w:val="18"/>
                <w:szCs w:val="18"/>
              </w:rPr>
              <w:t>Data / representation</w:t>
            </w:r>
          </w:p>
        </w:tc>
        <w:tc>
          <w:tcPr>
            <w:tcW w:w="21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5E5F8B3" w14:textId="77777777" w:rsidR="008605A2" w:rsidRDefault="006C00E3">
            <w:pPr>
              <w:spacing w:line="260" w:lineRule="auto"/>
            </w:pPr>
            <w:r>
              <w:rPr>
                <w:sz w:val="18"/>
                <w:szCs w:val="18"/>
              </w:rPr>
              <w:t>Gender Shades (2018)</w:t>
            </w:r>
          </w:p>
        </w:tc>
        <w:tc>
          <w:tcPr>
            <w:tcW w:w="273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282C432" w14:textId="77777777" w:rsidR="008605A2" w:rsidRDefault="006C00E3">
            <w:pPr>
              <w:spacing w:line="260" w:lineRule="auto"/>
            </w:pPr>
            <w:r>
              <w:rPr>
                <w:sz w:val="18"/>
                <w:szCs w:val="18"/>
              </w:rPr>
              <w:t>Subgroup performance disaggregation; saliency maps by subgroup</w:t>
            </w:r>
          </w:p>
        </w:tc>
        <w:tc>
          <w:tcPr>
            <w:tcW w:w="273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DAD76FC" w14:textId="77777777" w:rsidR="008605A2" w:rsidRDefault="006C00E3">
            <w:pPr>
              <w:spacing w:line="260" w:lineRule="auto"/>
            </w:pPr>
            <w:r>
              <w:rPr>
                <w:sz w:val="18"/>
                <w:szCs w:val="18"/>
              </w:rPr>
              <w:t>Rebalance / augment training data; document coverage in datasheets</w:t>
            </w:r>
          </w:p>
        </w:tc>
      </w:tr>
      <w:tr w:rsidR="008605A2" w14:paraId="0CA2825B" w14:textId="77777777">
        <w:tblPrEx>
          <w:tblCellMar>
            <w:top w:w="0" w:type="dxa"/>
            <w:bottom w:w="0" w:type="dxa"/>
          </w:tblCellMar>
        </w:tblPrEx>
        <w:trPr>
          <w:cantSplit/>
        </w:trPr>
        <w:tc>
          <w:tcPr>
            <w:tcW w:w="17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90C4772" w14:textId="77777777" w:rsidR="008605A2" w:rsidRDefault="006C00E3">
            <w:pPr>
              <w:spacing w:line="260" w:lineRule="auto"/>
            </w:pPr>
            <w:r>
              <w:rPr>
                <w:b/>
                <w:bCs/>
                <w:sz w:val="18"/>
                <w:szCs w:val="18"/>
              </w:rPr>
              <w:t>Label / proxy</w:t>
            </w:r>
          </w:p>
        </w:tc>
        <w:tc>
          <w:tcPr>
            <w:tcW w:w="21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71DA6D9" w14:textId="77777777" w:rsidR="008605A2" w:rsidRDefault="006C00E3">
            <w:pPr>
              <w:spacing w:line="260" w:lineRule="auto"/>
            </w:pPr>
            <w:r>
              <w:rPr>
                <w:sz w:val="18"/>
                <w:szCs w:val="18"/>
              </w:rPr>
              <w:t>Obermeyer et al. (2019) — cost as proxy for need</w:t>
            </w:r>
          </w:p>
        </w:tc>
        <w:tc>
          <w:tcPr>
            <w:tcW w:w="273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796A2C8" w14:textId="77777777" w:rsidR="008605A2" w:rsidRDefault="006C00E3">
            <w:pPr>
              <w:spacing w:line="260" w:lineRule="auto"/>
            </w:pPr>
            <w:r>
              <w:rPr>
                <w:sz w:val="18"/>
                <w:szCs w:val="18"/>
              </w:rPr>
              <w:t>Global SHAP by group; conditional outcome analysis at equal scores</w:t>
            </w:r>
          </w:p>
        </w:tc>
        <w:tc>
          <w:tcPr>
            <w:tcW w:w="273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8EFA53B" w14:textId="77777777" w:rsidR="008605A2" w:rsidRDefault="006C00E3">
            <w:pPr>
              <w:spacing w:line="260" w:lineRule="auto"/>
            </w:pPr>
            <w:r>
              <w:rPr>
                <w:sz w:val="18"/>
                <w:szCs w:val="18"/>
              </w:rPr>
              <w:t>Re-specify the label closer to the construct of interest</w:t>
            </w:r>
          </w:p>
        </w:tc>
      </w:tr>
      <w:tr w:rsidR="008605A2" w14:paraId="168041AB" w14:textId="77777777">
        <w:tblPrEx>
          <w:tblCellMar>
            <w:top w:w="0" w:type="dxa"/>
            <w:bottom w:w="0" w:type="dxa"/>
          </w:tblCellMar>
        </w:tblPrEx>
        <w:trPr>
          <w:cantSplit/>
        </w:trPr>
        <w:tc>
          <w:tcPr>
            <w:tcW w:w="17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16FA032" w14:textId="77777777" w:rsidR="008605A2" w:rsidRDefault="006C00E3">
            <w:pPr>
              <w:spacing w:line="260" w:lineRule="auto"/>
            </w:pPr>
            <w:r>
              <w:rPr>
                <w:b/>
                <w:bCs/>
                <w:sz w:val="18"/>
                <w:szCs w:val="18"/>
              </w:rPr>
              <w:t>Learned / amplified</w:t>
            </w:r>
          </w:p>
        </w:tc>
        <w:tc>
          <w:tcPr>
            <w:tcW w:w="21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2616E6A" w14:textId="77777777" w:rsidR="008605A2" w:rsidRDefault="006C00E3">
            <w:pPr>
              <w:spacing w:line="260" w:lineRule="auto"/>
            </w:pPr>
            <w:r>
              <w:rPr>
                <w:sz w:val="18"/>
                <w:szCs w:val="18"/>
              </w:rPr>
              <w:t>Amazon recruiting tool (2018)</w:t>
            </w:r>
          </w:p>
        </w:tc>
        <w:tc>
          <w:tcPr>
            <w:tcW w:w="273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ED5A097" w14:textId="77777777" w:rsidR="008605A2" w:rsidRDefault="006C00E3">
            <w:pPr>
              <w:spacing w:line="260" w:lineRule="auto"/>
            </w:pPr>
            <w:r>
              <w:rPr>
                <w:sz w:val="18"/>
                <w:szCs w:val="18"/>
              </w:rPr>
              <w:t>Feature attribution on proxies; counterfactual attribute flipping</w:t>
            </w:r>
          </w:p>
        </w:tc>
        <w:tc>
          <w:tcPr>
            <w:tcW w:w="273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47E90A7" w14:textId="77777777" w:rsidR="008605A2" w:rsidRDefault="006C00E3">
            <w:pPr>
              <w:spacing w:line="260" w:lineRule="auto"/>
            </w:pPr>
            <w:r>
              <w:rPr>
                <w:sz w:val="18"/>
                <w:szCs w:val="18"/>
              </w:rPr>
              <w:t>Remove / constrain proxy features; in-processing fairness constraints</w:t>
            </w:r>
          </w:p>
        </w:tc>
      </w:tr>
      <w:tr w:rsidR="008605A2" w14:paraId="137E2EEF" w14:textId="77777777">
        <w:tblPrEx>
          <w:tblCellMar>
            <w:top w:w="0" w:type="dxa"/>
            <w:bottom w:w="0" w:type="dxa"/>
          </w:tblCellMar>
        </w:tblPrEx>
        <w:trPr>
          <w:cantSplit/>
        </w:trPr>
        <w:tc>
          <w:tcPr>
            <w:tcW w:w="17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163FF48" w14:textId="77777777" w:rsidR="008605A2" w:rsidRDefault="006C00E3">
            <w:pPr>
              <w:spacing w:line="260" w:lineRule="auto"/>
            </w:pPr>
            <w:r>
              <w:rPr>
                <w:b/>
                <w:bCs/>
                <w:sz w:val="18"/>
                <w:szCs w:val="18"/>
              </w:rPr>
              <w:lastRenderedPageBreak/>
              <w:t>Feedback / deployment</w:t>
            </w:r>
          </w:p>
        </w:tc>
        <w:tc>
          <w:tcPr>
            <w:tcW w:w="21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44555E9" w14:textId="77777777" w:rsidR="008605A2" w:rsidRDefault="006C00E3">
            <w:pPr>
              <w:spacing w:line="260" w:lineRule="auto"/>
            </w:pPr>
            <w:r>
              <w:rPr>
                <w:sz w:val="18"/>
                <w:szCs w:val="18"/>
              </w:rPr>
              <w:t>Predictive policing loops</w:t>
            </w:r>
          </w:p>
        </w:tc>
        <w:tc>
          <w:tcPr>
            <w:tcW w:w="273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2FD7C92" w14:textId="77777777" w:rsidR="008605A2" w:rsidRDefault="006C00E3">
            <w:pPr>
              <w:spacing w:line="260" w:lineRule="auto"/>
            </w:pPr>
            <w:r>
              <w:rPr>
                <w:sz w:val="18"/>
                <w:szCs w:val="18"/>
              </w:rPr>
              <w:t>Post-market monitoring; drift analysis of feature reliance over time</w:t>
            </w:r>
          </w:p>
        </w:tc>
        <w:tc>
          <w:tcPr>
            <w:tcW w:w="273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1A0DE56" w14:textId="77777777" w:rsidR="008605A2" w:rsidRDefault="006C00E3">
            <w:pPr>
              <w:spacing w:line="260" w:lineRule="auto"/>
            </w:pPr>
            <w:r>
              <w:rPr>
                <w:sz w:val="18"/>
                <w:szCs w:val="18"/>
              </w:rPr>
              <w:t>Break the loop: separate outcome measurement from model-driven action</w:t>
            </w:r>
          </w:p>
        </w:tc>
      </w:tr>
    </w:tbl>
    <w:p w14:paraId="6ADB484F" w14:textId="77777777" w:rsidR="008605A2" w:rsidRDefault="008605A2">
      <w:pPr>
        <w:spacing w:after="120"/>
      </w:pPr>
    </w:p>
    <w:p w14:paraId="797200F5" w14:textId="77777777" w:rsidR="008605A2" w:rsidRDefault="006C00E3">
      <w:pPr>
        <w:pStyle w:val="Heading1"/>
        <w:spacing w:before="280" w:after="160"/>
      </w:pPr>
      <w:r>
        <w:t>4. The regulatory architecture</w:t>
      </w:r>
    </w:p>
    <w:p w14:paraId="259BC226" w14:textId="77777777" w:rsidR="008605A2" w:rsidRDefault="006C00E3">
      <w:pPr>
        <w:pStyle w:val="Heading3"/>
      </w:pPr>
      <w:r>
        <w:t>The EU AI Act’s risk pyramid, examined</w:t>
      </w:r>
    </w:p>
    <w:p w14:paraId="6373EB1E" w14:textId="77777777" w:rsidR="008605A2" w:rsidRDefault="006C00E3">
      <w:pPr>
        <w:spacing w:after="160" w:line="300" w:lineRule="auto"/>
        <w:jc w:val="both"/>
      </w:pPr>
      <w:r>
        <w:t>Sessions 2 and 4 introduced the EU AI Act in passing; it deserves systematic treatment here, because its risk-tier architecture is becoming the template other jurisdictions copy or consciously reject. The Act sorts AI systems into four tiers.</w:t>
      </w:r>
      <w:r>
        <w:rPr>
          <w:rStyle w:val="FootnoteReference"/>
        </w:rPr>
        <w:footnoteReference w:id="7"/>
      </w:r>
    </w:p>
    <w:p w14:paraId="710FCA64" w14:textId="77777777" w:rsidR="008605A2" w:rsidRDefault="006C00E3">
      <w:pPr>
        <w:spacing w:after="160" w:line="300" w:lineRule="auto"/>
        <w:jc w:val="both"/>
      </w:pPr>
      <w:r>
        <w:t xml:space="preserve">At the apex, </w:t>
      </w:r>
      <w:r>
        <w:rPr>
          <w:b/>
          <w:bCs/>
        </w:rPr>
        <w:t>prohibited practices</w:t>
      </w:r>
      <w:r>
        <w:t xml:space="preserve"> (Article 5) are banned outright: social scoring by public authorities; exploitation of vulnerabilities of age or disability; subliminal manipulation causing harm; untargeted scraping of facial images; emotion recognition in workplaces and schools (with narrow exceptions); and real-time remote biometric identification in public spaces for law enforcement, save for tightly enumerated exceptions. These prohibitions took effect on 2 February 2025, the first operative provisions of the Act.</w:t>
      </w:r>
    </w:p>
    <w:p w14:paraId="05D45F22" w14:textId="77777777" w:rsidR="008605A2" w:rsidRDefault="006C00E3">
      <w:pPr>
        <w:spacing w:after="160" w:line="300" w:lineRule="auto"/>
        <w:jc w:val="both"/>
      </w:pPr>
      <w:r>
        <w:t xml:space="preserve">The second tier, </w:t>
      </w:r>
      <w:r>
        <w:rPr>
          <w:b/>
          <w:bCs/>
        </w:rPr>
        <w:t>high-risk systems</w:t>
      </w:r>
      <w:r>
        <w:t xml:space="preserve"> (Article 6 and Annex III), is where most professional readers of this course will live. Annex III lists the domains: biometrics; critical infrastructure; education and vocational training; employment and worker management; access to essential private and public services (including creditworthiness assessment); law enforcement; migration and border control; administration of justice and democratic processes. For these, the full obligations apply from 2 August 2026 — weeks after this course </w:t>
      </w:r>
      <w:r>
        <w:t>concludes.</w:t>
      </w:r>
    </w:p>
    <w:p w14:paraId="3F52581E" w14:textId="77777777" w:rsidR="008605A2" w:rsidRDefault="006C00E3">
      <w:pPr>
        <w:spacing w:after="160" w:line="300" w:lineRule="auto"/>
        <w:jc w:val="both"/>
      </w:pPr>
      <w:r>
        <w:t xml:space="preserve">The third tier, </w:t>
      </w:r>
      <w:r>
        <w:rPr>
          <w:b/>
          <w:bCs/>
        </w:rPr>
        <w:t>limited-risk / transparency-obligation systems</w:t>
      </w:r>
      <w:r>
        <w:t xml:space="preserve"> (Article 50), covers chatbots (which must disclose they are AI), synthetic media and deepfakes (which must be labelled), and emotion-recognition systems outside the prohibited contexts (which must inform the people exposed to them). The fourth tier, </w:t>
      </w:r>
      <w:r>
        <w:rPr>
          <w:b/>
          <w:bCs/>
        </w:rPr>
        <w:t>minimal risk</w:t>
      </w:r>
      <w:r>
        <w:t>, covers everything else — spam filters, game AI, inventory forecasting — and attracts no new obligations.</w:t>
      </w:r>
    </w:p>
    <w:p w14:paraId="550B5CA6" w14:textId="77777777" w:rsidR="008605A2" w:rsidRDefault="006C00E3">
      <w:pPr>
        <w:spacing w:after="160" w:line="300" w:lineRule="auto"/>
        <w:jc w:val="both"/>
      </w:pPr>
      <w:r>
        <w:t>For high-risk systems the Act’s obligations form a connected machine: a risk-management system maintained across the lifecycle (Article 9); data-governance requirements addressing exactly the bias entry points of Section 2 above (Article 10); technical documentation (Article 11 and Annex IV); transparency sufficient for deployers to interpret outputs (Article 13); effective human oversight (Article 14); a quality-management system (Article 17); deployer obligations including monitoring and record-keeping (A</w:t>
      </w:r>
      <w:r>
        <w:t xml:space="preserve">rticle 26); post-market monitoring (Article 72); and the affected </w:t>
      </w:r>
      <w:r>
        <w:lastRenderedPageBreak/>
        <w:t>person’s right to explanation (Article 86).</w:t>
      </w:r>
      <w:r>
        <w:rPr>
          <w:rStyle w:val="FootnoteReference"/>
        </w:rPr>
        <w:footnoteReference w:id="8"/>
      </w:r>
      <w:r>
        <w:t xml:space="preserve"> Read as a whole, the Act legislates much of what this course has taught: Session 2’s transparency concepts appear in Article 13; Session 3’s techniques become the evidentiary apparatus for Articles 10 and 14; Session 4’s collaboration topologies are Article 14’s subject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5A2" w14:paraId="62113EE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06E18AC9" w14:textId="77777777" w:rsidR="00082831" w:rsidRDefault="00082831" w:rsidP="00082831">
            <w:pPr>
              <w:spacing w:line="280" w:lineRule="auto"/>
              <w:rPr>
                <w:i/>
                <w:iCs/>
                <w:sz w:val="20"/>
                <w:szCs w:val="20"/>
              </w:rPr>
            </w:pPr>
            <w:r w:rsidRPr="007106B5">
              <w:rPr>
                <w:i/>
                <w:iCs/>
                <w:sz w:val="20"/>
                <w:szCs w:val="20"/>
                <w:highlight w:val="yellow"/>
              </w:rPr>
              <w:t>= to be done by participants =</w:t>
            </w:r>
          </w:p>
          <w:p w14:paraId="2FEE3FC5" w14:textId="456210C3" w:rsidR="008605A2" w:rsidRDefault="006C00E3">
            <w:pPr>
              <w:spacing w:line="280" w:lineRule="auto"/>
            </w:pPr>
            <w:r>
              <w:rPr>
                <w:i/>
                <w:iCs/>
                <w:sz w:val="20"/>
                <w:szCs w:val="20"/>
              </w:rPr>
              <w:t xml:space="preserve">Figure 2. The EU AI Act’s four-tier risk pyramid. A pyramid diagram in four horizontal bands. Apex band (red): “Prohibited” — social scoring, manipulation, workplace emotion recognition, untargeted face scraping; in force 2 February 2025. Second band (orange): “High-risk” — Annex III domains including employment, credit, education, law enforcement; full obligations 2 August 2026; side-callouts list the obligation articles (9, 10, 13, 14, 17, 26, 72, 86). Third band (yellow): “Limited risk / transparency” — </w:t>
            </w:r>
            <w:r>
              <w:rPr>
                <w:i/>
                <w:iCs/>
                <w:sz w:val="20"/>
                <w:szCs w:val="20"/>
              </w:rPr>
              <w:t>chatbots, deepfakes, emotion recognition outside prohibited contexts; Article 50 disclosure duties. Base band (green): “Minimal risk” — no new obligations. A vertical arrow on the left is labelled “regulatory burden”, increasing toward the apex; a vertical arrow on the right is labelled “share of deployed systems”, increasing toward the base.</w:t>
            </w:r>
          </w:p>
        </w:tc>
      </w:tr>
    </w:tbl>
    <w:p w14:paraId="4AA64788" w14:textId="77777777" w:rsidR="008605A2" w:rsidRDefault="006C00E3">
      <w:pPr>
        <w:pStyle w:val="Heading3"/>
      </w:pPr>
      <w:r>
        <w:t>The global landscape</w:t>
      </w:r>
    </w:p>
    <w:p w14:paraId="681307AB" w14:textId="77777777" w:rsidR="008605A2" w:rsidRDefault="006C00E3">
      <w:pPr>
        <w:spacing w:after="160" w:line="300" w:lineRule="auto"/>
        <w:jc w:val="both"/>
      </w:pPr>
      <w:r>
        <w:t>Around the EU centrepiece, the global picture is a patchwork of instruments rather than a single architecture. The OECD AI Principles (2019, amended 2024) and the UNESCO Recommendation on the Ethics of AI (2021) supply the shared vocabulary — human-centred values, transparency, robustness, accountability — to which most national frameworks now refer. The United States has, at the time of writing, no omnibus federal AI statute; the operative instruments are the NIST AI Risk Management Framework (voluntary bu</w:t>
      </w:r>
      <w:r>
        <w:t>t increasingly the de facto reference for U.S. enterprise governance), sectoral regulation of the kind surveyed in Session 4, state and municipal laws such as the Illinois AIVIA and NYC Local Law 144, and an executive-order landscape that has shifted with each administration.</w:t>
      </w:r>
      <w:r>
        <w:rPr>
          <w:rStyle w:val="FootnoteReference"/>
        </w:rPr>
        <w:footnoteReference w:id="9"/>
      </w:r>
      <w:r>
        <w:t xml:space="preserve"> China has taken a third route: binding administrative regulations targeted at specific technologies — recommendation algorithms (2022), deep synthesis (2023), generative AI services (2023) — with registration and security-assessment duties, emphasising content control alongside consumer protection. The United Kingdom has favoured a principles-based, regulator-led approach without a single AI statute.</w:t>
      </w:r>
    </w:p>
    <w:p w14:paraId="3D1A0E1A" w14:textId="77777777" w:rsidR="008605A2" w:rsidRDefault="006C00E3">
      <w:pPr>
        <w:spacing w:after="160" w:line="300" w:lineRule="auto"/>
        <w:jc w:val="both"/>
      </w:pPr>
      <w:r>
        <w:t xml:space="preserve">Australia — where this course is taught — sits deliberately between models. The 2019 AI Ethics Principles are voluntary; the 2024 Voluntary AI Safety Standard translates them into ten operational guardrails (accountability, risk management, data governance, testing, human oversight, transparency, contestability, supply-chain transparency, record-keeping, stakeholder engagement); and a proposals paper has canvassed making comparable guardrails mandatory </w:t>
      </w:r>
      <w:r>
        <w:lastRenderedPageBreak/>
        <w:t>for AI in high-risk settings, with the Robodebt Royal Commission’s findings — examined in Session 4 — supplying the political backdrop for why procedural fairness and contestability feature so prominently.</w:t>
      </w:r>
      <w:r>
        <w:rPr>
          <w:rStyle w:val="FootnoteReference"/>
        </w:rPr>
        <w:footnoteReference w:id="10"/>
      </w:r>
      <w:r>
        <w:t xml:space="preserve"> For an Australian organisation, the practical reading is: build to the voluntary standard now, expect mandatory guardrails for high-risk uses, and treat the EU AI Act as the compliance ceiling if you operate internationally.</w:t>
      </w:r>
    </w:p>
    <w:p w14:paraId="2B9BD343" w14:textId="77777777" w:rsidR="008605A2" w:rsidRDefault="006C00E3">
      <w:pPr>
        <w:spacing w:before="240" w:after="100"/>
      </w:pPr>
      <w:r>
        <w:rPr>
          <w:i/>
          <w:iCs/>
          <w:sz w:val="20"/>
          <w:szCs w:val="20"/>
        </w:rPr>
        <w:t>Table 2. The global regulatory landscape at a glance (as at mid-2026).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2300"/>
        <w:gridCol w:w="2360"/>
      </w:tblGrid>
      <w:tr w:rsidR="008605A2" w14:paraId="0B16F71E" w14:textId="77777777">
        <w:tblPrEx>
          <w:tblCellMar>
            <w:top w:w="0" w:type="dxa"/>
            <w:bottom w:w="0" w:type="dxa"/>
          </w:tblCellMar>
        </w:tblPrEx>
        <w:trPr>
          <w:cantSplit/>
          <w:tblHeader/>
        </w:trPr>
        <w:tc>
          <w:tcPr>
            <w:tcW w:w="17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140486B0" w14:textId="77777777" w:rsidR="008605A2" w:rsidRDefault="006C00E3">
            <w:pPr>
              <w:spacing w:line="260" w:lineRule="auto"/>
            </w:pPr>
            <w:r>
              <w:rPr>
                <w:b/>
                <w:bCs/>
                <w:sz w:val="18"/>
                <w:szCs w:val="18"/>
              </w:rPr>
              <w:t>Jurisdiction</w:t>
            </w:r>
          </w:p>
        </w:tc>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0CAFBD25" w14:textId="77777777" w:rsidR="008605A2" w:rsidRDefault="006C00E3">
            <w:pPr>
              <w:spacing w:line="260" w:lineRule="auto"/>
            </w:pPr>
            <w:r>
              <w:rPr>
                <w:b/>
                <w:bCs/>
                <w:sz w:val="18"/>
                <w:szCs w:val="18"/>
              </w:rPr>
              <w:t>Principal instrument(s)</w:t>
            </w:r>
          </w:p>
        </w:tc>
        <w:tc>
          <w:tcPr>
            <w:tcW w:w="23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CF7F88D" w14:textId="77777777" w:rsidR="008605A2" w:rsidRDefault="006C00E3">
            <w:pPr>
              <w:spacing w:line="260" w:lineRule="auto"/>
            </w:pPr>
            <w:r>
              <w:rPr>
                <w:b/>
                <w:bCs/>
                <w:sz w:val="18"/>
                <w:szCs w:val="18"/>
              </w:rPr>
              <w:t>Approach</w:t>
            </w:r>
          </w:p>
        </w:tc>
        <w:tc>
          <w:tcPr>
            <w:tcW w:w="236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60071755" w14:textId="77777777" w:rsidR="008605A2" w:rsidRDefault="006C00E3">
            <w:pPr>
              <w:spacing w:line="260" w:lineRule="auto"/>
            </w:pPr>
            <w:r>
              <w:rPr>
                <w:b/>
                <w:bCs/>
                <w:sz w:val="18"/>
                <w:szCs w:val="18"/>
              </w:rPr>
              <w:t>Explanation requirement</w:t>
            </w:r>
          </w:p>
        </w:tc>
      </w:tr>
      <w:tr w:rsidR="008605A2" w14:paraId="5AEFAD9C"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B12E835" w14:textId="77777777" w:rsidR="008605A2" w:rsidRDefault="006C00E3">
            <w:pPr>
              <w:spacing w:line="260" w:lineRule="auto"/>
            </w:pPr>
            <w:r>
              <w:rPr>
                <w:b/>
                <w:bCs/>
                <w:sz w:val="18"/>
                <w:szCs w:val="18"/>
              </w:rPr>
              <w:t>European Union</w:t>
            </w:r>
          </w:p>
        </w:tc>
        <w:tc>
          <w:tcPr>
            <w:tcW w:w="30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F62F678" w14:textId="77777777" w:rsidR="008605A2" w:rsidRDefault="006C00E3">
            <w:pPr>
              <w:spacing w:line="260" w:lineRule="auto"/>
            </w:pPr>
            <w:r>
              <w:rPr>
                <w:sz w:val="18"/>
                <w:szCs w:val="18"/>
              </w:rPr>
              <w:t>AI Act (2024/1689); GDPR Art 22</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29642CB" w14:textId="77777777" w:rsidR="008605A2" w:rsidRDefault="006C00E3">
            <w:pPr>
              <w:spacing w:line="260" w:lineRule="auto"/>
            </w:pPr>
            <w:r>
              <w:rPr>
                <w:sz w:val="18"/>
                <w:szCs w:val="18"/>
              </w:rPr>
              <w:t>Omnibus, risk-tiered, binding</w:t>
            </w:r>
          </w:p>
        </w:tc>
        <w:tc>
          <w:tcPr>
            <w:tcW w:w="23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98D407D" w14:textId="77777777" w:rsidR="008605A2" w:rsidRDefault="006C00E3">
            <w:pPr>
              <w:spacing w:line="260" w:lineRule="auto"/>
            </w:pPr>
            <w:r>
              <w:rPr>
                <w:sz w:val="18"/>
                <w:szCs w:val="18"/>
              </w:rPr>
              <w:t>Explicit (AI Act Art 86; GDPR “meaningful information”)</w:t>
            </w:r>
          </w:p>
        </w:tc>
      </w:tr>
      <w:tr w:rsidR="008605A2" w14:paraId="442F1FE6"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7E42E56" w14:textId="77777777" w:rsidR="008605A2" w:rsidRDefault="006C00E3">
            <w:pPr>
              <w:spacing w:line="260" w:lineRule="auto"/>
            </w:pPr>
            <w:r>
              <w:rPr>
                <w:b/>
                <w:bCs/>
                <w:sz w:val="18"/>
                <w:szCs w:val="18"/>
              </w:rPr>
              <w:t>United States</w:t>
            </w:r>
          </w:p>
        </w:tc>
        <w:tc>
          <w:tcPr>
            <w:tcW w:w="30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7D26BF6" w14:textId="77777777" w:rsidR="008605A2" w:rsidRDefault="006C00E3">
            <w:pPr>
              <w:spacing w:line="260" w:lineRule="auto"/>
            </w:pPr>
            <w:r>
              <w:rPr>
                <w:sz w:val="18"/>
                <w:szCs w:val="18"/>
              </w:rPr>
              <w:t>NIST AI RMF; ECOA/FCRA; state &amp; city laws (IL AIVIA, NYC LL 144)</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E84AA96" w14:textId="77777777" w:rsidR="008605A2" w:rsidRDefault="006C00E3">
            <w:pPr>
              <w:spacing w:line="260" w:lineRule="auto"/>
            </w:pPr>
            <w:r>
              <w:rPr>
                <w:sz w:val="18"/>
                <w:szCs w:val="18"/>
              </w:rPr>
              <w:t>Sectoral patchwork; voluntary federal framework</w:t>
            </w:r>
          </w:p>
        </w:tc>
        <w:tc>
          <w:tcPr>
            <w:tcW w:w="23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2911DBF" w14:textId="77777777" w:rsidR="008605A2" w:rsidRDefault="006C00E3">
            <w:pPr>
              <w:spacing w:line="260" w:lineRule="auto"/>
            </w:pPr>
            <w:r>
              <w:rPr>
                <w:sz w:val="18"/>
                <w:szCs w:val="18"/>
              </w:rPr>
              <w:t>Sector-specific (adverse-action reasons in credit; bias audits in NYC hiring)</w:t>
            </w:r>
          </w:p>
        </w:tc>
      </w:tr>
      <w:tr w:rsidR="008605A2" w14:paraId="44C2D2F7"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EE7899A" w14:textId="77777777" w:rsidR="008605A2" w:rsidRDefault="006C00E3">
            <w:pPr>
              <w:spacing w:line="260" w:lineRule="auto"/>
            </w:pPr>
            <w:r>
              <w:rPr>
                <w:b/>
                <w:bCs/>
                <w:sz w:val="18"/>
                <w:szCs w:val="18"/>
              </w:rPr>
              <w:t>China</w:t>
            </w:r>
          </w:p>
        </w:tc>
        <w:tc>
          <w:tcPr>
            <w:tcW w:w="30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396CAFC" w14:textId="77777777" w:rsidR="008605A2" w:rsidRDefault="006C00E3">
            <w:pPr>
              <w:spacing w:line="260" w:lineRule="auto"/>
            </w:pPr>
            <w:r>
              <w:rPr>
                <w:sz w:val="18"/>
                <w:szCs w:val="18"/>
              </w:rPr>
              <w:t>Algorithm, deep-synthesis and generative-AI regulations (2022–23)</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AF610EA" w14:textId="77777777" w:rsidR="008605A2" w:rsidRDefault="006C00E3">
            <w:pPr>
              <w:spacing w:line="260" w:lineRule="auto"/>
            </w:pPr>
            <w:r>
              <w:rPr>
                <w:sz w:val="18"/>
                <w:szCs w:val="18"/>
              </w:rPr>
              <w:t>Technology-specific, binding, registration-based</w:t>
            </w:r>
          </w:p>
        </w:tc>
        <w:tc>
          <w:tcPr>
            <w:tcW w:w="23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CF3EC73" w14:textId="77777777" w:rsidR="008605A2" w:rsidRDefault="006C00E3">
            <w:pPr>
              <w:spacing w:line="260" w:lineRule="auto"/>
            </w:pPr>
            <w:r>
              <w:rPr>
                <w:sz w:val="18"/>
                <w:szCs w:val="18"/>
              </w:rPr>
              <w:t>Algorithm filing and disclosure duties; user notification</w:t>
            </w:r>
          </w:p>
        </w:tc>
      </w:tr>
      <w:tr w:rsidR="008605A2" w14:paraId="47F48CCF"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12429BF" w14:textId="77777777" w:rsidR="008605A2" w:rsidRDefault="006C00E3">
            <w:pPr>
              <w:spacing w:line="260" w:lineRule="auto"/>
            </w:pPr>
            <w:r>
              <w:rPr>
                <w:b/>
                <w:bCs/>
                <w:sz w:val="18"/>
                <w:szCs w:val="18"/>
              </w:rPr>
              <w:t>United Kingdom</w:t>
            </w:r>
          </w:p>
        </w:tc>
        <w:tc>
          <w:tcPr>
            <w:tcW w:w="30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36239F5" w14:textId="77777777" w:rsidR="008605A2" w:rsidRDefault="006C00E3">
            <w:pPr>
              <w:spacing w:line="260" w:lineRule="auto"/>
            </w:pPr>
            <w:r>
              <w:rPr>
                <w:sz w:val="18"/>
                <w:szCs w:val="18"/>
              </w:rPr>
              <w:t>Principles-based regulator guidance; no omnibus statute</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A566756" w14:textId="77777777" w:rsidR="008605A2" w:rsidRDefault="006C00E3">
            <w:pPr>
              <w:spacing w:line="260" w:lineRule="auto"/>
            </w:pPr>
            <w:r>
              <w:rPr>
                <w:sz w:val="18"/>
                <w:szCs w:val="18"/>
              </w:rPr>
              <w:t>Regulator-led, contextual</w:t>
            </w:r>
          </w:p>
        </w:tc>
        <w:tc>
          <w:tcPr>
            <w:tcW w:w="23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FC732CB" w14:textId="77777777" w:rsidR="008605A2" w:rsidRDefault="006C00E3">
            <w:pPr>
              <w:spacing w:line="260" w:lineRule="auto"/>
            </w:pPr>
            <w:r>
              <w:rPr>
                <w:sz w:val="18"/>
                <w:szCs w:val="18"/>
              </w:rPr>
              <w:t>Via existing law (UK GDPR; equality law)</w:t>
            </w:r>
          </w:p>
        </w:tc>
      </w:tr>
      <w:tr w:rsidR="008605A2" w14:paraId="3CFB0FA0"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BCAACCE" w14:textId="77777777" w:rsidR="008605A2" w:rsidRDefault="006C00E3">
            <w:pPr>
              <w:spacing w:line="260" w:lineRule="auto"/>
            </w:pPr>
            <w:r>
              <w:rPr>
                <w:b/>
                <w:bCs/>
                <w:sz w:val="18"/>
                <w:szCs w:val="18"/>
              </w:rPr>
              <w:t>Australia</w:t>
            </w:r>
          </w:p>
        </w:tc>
        <w:tc>
          <w:tcPr>
            <w:tcW w:w="30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95418E0" w14:textId="77777777" w:rsidR="008605A2" w:rsidRDefault="006C00E3">
            <w:pPr>
              <w:spacing w:line="260" w:lineRule="auto"/>
            </w:pPr>
            <w:r>
              <w:rPr>
                <w:sz w:val="18"/>
                <w:szCs w:val="18"/>
              </w:rPr>
              <w:t>AI Ethics Principles (2019); Voluntary AI Safety Standard (2024); proposed mandatory guardrails</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A4B3280" w14:textId="77777777" w:rsidR="008605A2" w:rsidRDefault="006C00E3">
            <w:pPr>
              <w:spacing w:line="260" w:lineRule="auto"/>
            </w:pPr>
            <w:r>
              <w:rPr>
                <w:sz w:val="18"/>
                <w:szCs w:val="18"/>
              </w:rPr>
              <w:t>Voluntary now; mandatory guardrails proposed for high-risk</w:t>
            </w:r>
          </w:p>
        </w:tc>
        <w:tc>
          <w:tcPr>
            <w:tcW w:w="23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1DD2C59" w14:textId="77777777" w:rsidR="008605A2" w:rsidRDefault="006C00E3">
            <w:pPr>
              <w:spacing w:line="260" w:lineRule="auto"/>
            </w:pPr>
            <w:r>
              <w:rPr>
                <w:sz w:val="18"/>
                <w:szCs w:val="18"/>
              </w:rPr>
              <w:t>Transparency &amp; contestability guardrails; admin-law procedural fairness (post-Robodebt)</w:t>
            </w:r>
          </w:p>
        </w:tc>
      </w:tr>
    </w:tbl>
    <w:p w14:paraId="069336EF" w14:textId="77777777" w:rsidR="008605A2" w:rsidRDefault="008605A2">
      <w:pPr>
        <w:spacing w:after="120"/>
      </w:pPr>
    </w:p>
    <w:p w14:paraId="58AF1F14" w14:textId="77777777" w:rsidR="008605A2" w:rsidRDefault="006C00E3">
      <w:pPr>
        <w:pStyle w:val="Heading1"/>
        <w:spacing w:before="280" w:after="160"/>
      </w:pPr>
      <w:r>
        <w:t>5. The internal governance machinery</w:t>
      </w:r>
    </w:p>
    <w:p w14:paraId="51481B34" w14:textId="77777777" w:rsidR="008605A2" w:rsidRDefault="006C00E3">
      <w:pPr>
        <w:spacing w:after="160" w:line="300" w:lineRule="auto"/>
        <w:jc w:val="both"/>
      </w:pPr>
      <w:r>
        <w:t>Regulation tells an organisation what outcomes it must achieve; it does not build the machinery. Across sectors and jurisdictions, the machinery that works has converged on four components.</w:t>
      </w:r>
    </w:p>
    <w:p w14:paraId="56488B08" w14:textId="77777777" w:rsidR="008605A2" w:rsidRDefault="006C00E3">
      <w:pPr>
        <w:spacing w:after="160" w:line="300" w:lineRule="auto"/>
        <w:jc w:val="both"/>
      </w:pPr>
      <w:r>
        <w:rPr>
          <w:b/>
          <w:bCs/>
        </w:rPr>
        <w:t>Roles and accountability.</w:t>
      </w:r>
      <w:r>
        <w:t xml:space="preserve"> Someone must own each model. Mature organisations now distinguish the </w:t>
      </w:r>
      <w:r>
        <w:rPr>
          <w:i/>
          <w:iCs/>
        </w:rPr>
        <w:t>model owner</w:t>
      </w:r>
      <w:r>
        <w:t xml:space="preserve"> (the business accountable executive), the </w:t>
      </w:r>
      <w:r>
        <w:rPr>
          <w:i/>
          <w:iCs/>
        </w:rPr>
        <w:t>model developer</w:t>
      </w:r>
      <w:r>
        <w:t xml:space="preserve">, the </w:t>
      </w:r>
      <w:r>
        <w:rPr>
          <w:i/>
          <w:iCs/>
        </w:rPr>
        <w:t>model validator</w:t>
      </w:r>
      <w:r>
        <w:t xml:space="preserve"> (independent of the developer — a separation borrowed from banking’s model-risk-management tradition), and an </w:t>
      </w:r>
      <w:r>
        <w:rPr>
          <w:i/>
          <w:iCs/>
        </w:rPr>
        <w:t>AI governance committee</w:t>
      </w:r>
      <w:r>
        <w:t xml:space="preserve"> with authority to refuse deployment. The Robodebt lesson recurs: the machinery must include a channel through which bad news travels upward and is acted upon. ISO/IEC 42001, published in December 2023 as the first </w:t>
      </w:r>
      <w:r>
        <w:lastRenderedPageBreak/>
        <w:t>ce</w:t>
      </w:r>
      <w:r>
        <w:t>rtifiable AI management-system standard, formalises this structure and is becoming the audit anchor for organisations that need to demonstrate conformity.</w:t>
      </w:r>
      <w:r>
        <w:rPr>
          <w:rStyle w:val="FootnoteReference"/>
        </w:rPr>
        <w:footnoteReference w:id="11"/>
      </w:r>
    </w:p>
    <w:p w14:paraId="380A9663" w14:textId="77777777" w:rsidR="008605A2" w:rsidRDefault="006C00E3">
      <w:pPr>
        <w:spacing w:after="160" w:line="300" w:lineRule="auto"/>
        <w:jc w:val="both"/>
      </w:pPr>
      <w:r>
        <w:rPr>
          <w:b/>
          <w:bCs/>
        </w:rPr>
        <w:t>Documentation artefacts.</w:t>
      </w:r>
      <w:r>
        <w:t xml:space="preserve"> Two lightweight formats have become near-universal. </w:t>
      </w:r>
      <w:r>
        <w:rPr>
          <w:i/>
          <w:iCs/>
        </w:rPr>
        <w:t>Model cards</w:t>
      </w:r>
      <w:r>
        <w:t xml:space="preserve"> — proposed by Margaret Mitchell, Timnit Gebru and colleagues — are short structured documents stating what a model is for, the populations on which it was evaluated, its performance disaggregated by subgroup, and its known limitations. </w:t>
      </w:r>
      <w:r>
        <w:rPr>
          <w:i/>
          <w:iCs/>
        </w:rPr>
        <w:t>Datasheets for datasets</w:t>
      </w:r>
      <w:r>
        <w:t xml:space="preserve"> do the same for training data: provenance, collection method, known gaps.</w:t>
      </w:r>
      <w:r>
        <w:rPr>
          <w:rStyle w:val="FootnoteReference"/>
        </w:rPr>
        <w:footnoteReference w:id="12"/>
      </w:r>
      <w:r>
        <w:t xml:space="preserve"> Both map naturally onto the EU AI Act’s Annex IV technical-documentation requirements, and both are exactly the artefacts in which the XAI outputs of Session 3 — subgroup SHAP summaries, saliency audits — belong.</w:t>
      </w:r>
    </w:p>
    <w:p w14:paraId="09381DB3" w14:textId="77777777" w:rsidR="008605A2" w:rsidRDefault="006C00E3">
      <w:pPr>
        <w:spacing w:after="160" w:line="300" w:lineRule="auto"/>
        <w:jc w:val="both"/>
      </w:pPr>
      <w:r>
        <w:rPr>
          <w:b/>
          <w:bCs/>
        </w:rPr>
        <w:t>Audit cycles.</w:t>
      </w:r>
      <w:r>
        <w:t xml:space="preserve"> Inioluwa Deborah Raji and colleagues’ end-to-end internal-audit framework — scoping, mapping, artefact collection, testing, reflection — has become the reference design for algorithmic auditing, the SMACTR framework.</w:t>
      </w:r>
      <w:r>
        <w:rPr>
          <w:rStyle w:val="FootnoteReference"/>
        </w:rPr>
        <w:footnoteReference w:id="13"/>
      </w:r>
      <w:r>
        <w:t xml:space="preserve"> The essential discipline is that audits recur: a model audited once at launch and never again is unaudited in any meaningful sense, because data drift, population drift, and feedback loops — Section 2’s fourth bias type — accumulate silently. Post-market monitoring under AI Act Article 72 makes this recurrence a legal duty for high-risk systems.</w:t>
      </w:r>
    </w:p>
    <w:p w14:paraId="48D80550" w14:textId="77777777" w:rsidR="008605A2" w:rsidRDefault="006C00E3">
      <w:pPr>
        <w:spacing w:after="160" w:line="300" w:lineRule="auto"/>
        <w:jc w:val="both"/>
      </w:pPr>
      <w:r>
        <w:rPr>
          <w:b/>
          <w:bCs/>
        </w:rPr>
        <w:t>Incident response.</w:t>
      </w:r>
      <w:r>
        <w:t xml:space="preserve"> When a deployed model causes harm, the questions are the ones this course has equipped you to ask: What did the model decide, and on what features (Session 3’s attributions)? Who was affected, and how do they contest it (Session 4’s procedural fitness)? What does the audit trail show (this session’s documentation)? An organisation that cannot answer within days does not have an incident-response capability; it has an incident-discovery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5A2" w14:paraId="0BC1B50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3C761F95" w14:textId="77777777" w:rsidR="00082831" w:rsidRDefault="00082831" w:rsidP="00082831">
            <w:pPr>
              <w:spacing w:line="280" w:lineRule="auto"/>
              <w:rPr>
                <w:i/>
                <w:iCs/>
                <w:sz w:val="20"/>
                <w:szCs w:val="20"/>
              </w:rPr>
            </w:pPr>
            <w:r w:rsidRPr="007106B5">
              <w:rPr>
                <w:i/>
                <w:iCs/>
                <w:sz w:val="20"/>
                <w:szCs w:val="20"/>
                <w:highlight w:val="yellow"/>
              </w:rPr>
              <w:t>= to be done by participants =</w:t>
            </w:r>
          </w:p>
          <w:p w14:paraId="2250AB20" w14:textId="5D8DADD4" w:rsidR="008605A2" w:rsidRDefault="006C00E3">
            <w:pPr>
              <w:spacing w:line="280" w:lineRule="auto"/>
            </w:pPr>
            <w:r>
              <w:rPr>
                <w:i/>
                <w:iCs/>
                <w:sz w:val="20"/>
                <w:szCs w:val="20"/>
              </w:rPr>
              <w:t xml:space="preserve">Figure 3. The internal governance machinery as a connected cycle. A circular diagram with four nodes arranged clockwise: Roles &amp; Accountability (model owner, developer, independent validator, governance committee) → Documentation (model cards, datasheets, Annex IV technical file) → Recurring Audit (SMACTR cycle; post-market monitoring under AI Act Art 72) → Incident Response (attribution analysis, affected-person remedy, root-cause review) → back to Roles &amp; Accountability. At the centre of the circle: “XAI </w:t>
            </w:r>
            <w:r>
              <w:rPr>
                <w:i/>
                <w:iCs/>
                <w:sz w:val="20"/>
                <w:szCs w:val="20"/>
              </w:rPr>
              <w:t xml:space="preserve">artefacts flow through every stage.” Side annotations note the </w:t>
            </w:r>
            <w:r>
              <w:rPr>
                <w:i/>
                <w:iCs/>
                <w:sz w:val="20"/>
                <w:szCs w:val="20"/>
              </w:rPr>
              <w:lastRenderedPageBreak/>
              <w:t>external anchors: ISO/IEC 42001 certification on the Roles node; EU AI Act conformity assessment on the Documentation node.</w:t>
            </w:r>
          </w:p>
        </w:tc>
      </w:tr>
    </w:tbl>
    <w:p w14:paraId="214AB58C" w14:textId="77777777" w:rsidR="008605A2" w:rsidRDefault="006C00E3">
      <w:pPr>
        <w:pStyle w:val="Heading1"/>
        <w:spacing w:before="280" w:after="160"/>
      </w:pPr>
      <w:r>
        <w:lastRenderedPageBreak/>
        <w:t>6. Open frontiers</w:t>
      </w:r>
    </w:p>
    <w:p w14:paraId="4A2373D5" w14:textId="77777777" w:rsidR="008605A2" w:rsidRDefault="006C00E3">
      <w:pPr>
        <w:spacing w:after="160" w:line="300" w:lineRule="auto"/>
        <w:jc w:val="both"/>
      </w:pPr>
      <w:r>
        <w:t>The field this course has surveyed is not finished. Four frontiers deserve the reader’s ongoing attention, because each is likely to change what “best practice” means within the professional lifetime of this cohort.</w:t>
      </w:r>
    </w:p>
    <w:p w14:paraId="4D1F8027" w14:textId="77777777" w:rsidR="008605A2" w:rsidRDefault="006C00E3">
      <w:pPr>
        <w:spacing w:after="160" w:line="300" w:lineRule="auto"/>
        <w:jc w:val="both"/>
      </w:pPr>
      <w:r>
        <w:rPr>
          <w:b/>
          <w:bCs/>
        </w:rPr>
        <w:t>Interpretable-by-design, revisited.</w:t>
      </w:r>
      <w:r>
        <w:t xml:space="preserve"> Rudin’s argument from Session 2 — stop explaining black boxes and build interpretable models instead — has gained rather than lost force as regulatory documentation duties have grown: an intrinsically interpretable model discharges much of Article 13 by construction.</w:t>
      </w:r>
      <w:r>
        <w:rPr>
          <w:rStyle w:val="FootnoteReference"/>
        </w:rPr>
        <w:footnoteReference w:id="14"/>
      </w:r>
      <w:r>
        <w:t xml:space="preserve"> Research on interpretable architectures that match black-box accuracy on tabular data continues to narrow the cases where opacity is genuinely necessary.</w:t>
      </w:r>
    </w:p>
    <w:p w14:paraId="4C8446D6" w14:textId="77777777" w:rsidR="008605A2" w:rsidRDefault="006C00E3">
      <w:pPr>
        <w:spacing w:after="160" w:line="300" w:lineRule="auto"/>
        <w:jc w:val="both"/>
      </w:pPr>
      <w:r>
        <w:rPr>
          <w:b/>
          <w:bCs/>
        </w:rPr>
        <w:t>Causal explanation.</w:t>
      </w:r>
      <w:r>
        <w:t xml:space="preserve"> Session 3 flagged that SHAP attributions are credit assignments, not causal claims. The research frontier is closing that gap: explanation methods grounded in causal models — in the tradition Judea Pearl’s work made systematic — promise answers to “what actually drives this outcome?” rather than “what correlates with this prediction?”.</w:t>
      </w:r>
      <w:r>
        <w:rPr>
          <w:rStyle w:val="FootnoteReference"/>
        </w:rPr>
        <w:footnoteReference w:id="15"/>
      </w:r>
      <w:r>
        <w:t xml:space="preserve"> For recourse, the distinction is practical, not philosophical: a counterfactual recommending an income change is useful only if income causally affects the decision pathway, not merely correlates with it.</w:t>
      </w:r>
    </w:p>
    <w:p w14:paraId="099E6473" w14:textId="77777777" w:rsidR="008605A2" w:rsidRDefault="006C00E3">
      <w:pPr>
        <w:spacing w:after="160" w:line="300" w:lineRule="auto"/>
        <w:jc w:val="both"/>
      </w:pPr>
      <w:r>
        <w:rPr>
          <w:b/>
          <w:bCs/>
        </w:rPr>
        <w:t>Explaining large language models.</w:t>
      </w:r>
      <w:r>
        <w:t xml:space="preserve"> The generative systems that have transformed public AI discourse strain every technique in Session 3: their “features” are not human-meaningful columns, their outputs are open-ended text, and their self-explanations — fluent, confident accounts of their own reasoning — are themselves model outputs that may not faithfully describe the underlying computation. Treating a model’s self-account as ground truth repeats, at larger scale, the mistake of treating any post-hoc story as the recipe rather than a tastin</w:t>
      </w:r>
      <w:r>
        <w:t>g note. Mechanistic interpretability — the attempt to reverse-engineer the internal circuitry of these models — is among the most active research programmes in the field, and its results are beginning to inform regulatory thinking about general-purpose AI.</w:t>
      </w:r>
    </w:p>
    <w:p w14:paraId="1C80480D" w14:textId="77777777" w:rsidR="008605A2" w:rsidRDefault="006C00E3">
      <w:pPr>
        <w:spacing w:after="160" w:line="300" w:lineRule="auto"/>
        <w:jc w:val="both"/>
      </w:pPr>
      <w:r>
        <w:rPr>
          <w:b/>
          <w:bCs/>
        </w:rPr>
        <w:t>Multimodal and interactive explanation.</w:t>
      </w:r>
      <w:r>
        <w:t xml:space="preserve"> Real deployments increasingly combine images, text, tabular data and time series; explanation interfaces that integrate across modalities, and that let the user interrogate the system in dialogue rather than read a static artefact, are an open design space. The evaluation question of Session 3 — does the nominal audience actually comprehend? — becomes more urgent, not less, as interfaces grow richer.</w:t>
      </w:r>
    </w:p>
    <w:p w14:paraId="0058DE03" w14:textId="77777777" w:rsidR="008605A2" w:rsidRDefault="006C00E3">
      <w:pPr>
        <w:pStyle w:val="Heading1"/>
        <w:spacing w:before="280" w:after="160"/>
      </w:pPr>
      <w:r>
        <w:lastRenderedPageBreak/>
        <w:t>7. The tensions no checklist resolves</w:t>
      </w:r>
    </w:p>
    <w:p w14:paraId="6C49D0E9" w14:textId="77777777" w:rsidR="008605A2" w:rsidRDefault="006C00E3">
      <w:pPr>
        <w:spacing w:after="160" w:line="300" w:lineRule="auto"/>
        <w:jc w:val="both"/>
      </w:pPr>
      <w:r>
        <w:t>A course that ended with a checklist would falsify its own material. The deepest issues in responsible AI are tensions — pairs of legitimate values that pull against each other — and the professional skill this course aims to build is the ability to see them clearly and decide deliberately.</w:t>
      </w:r>
    </w:p>
    <w:p w14:paraId="66E060D9" w14:textId="77777777" w:rsidR="008605A2" w:rsidRDefault="006C00E3">
      <w:pPr>
        <w:spacing w:after="160" w:line="300" w:lineRule="auto"/>
        <w:jc w:val="both"/>
      </w:pPr>
      <w:r>
        <w:rPr>
          <w:b/>
          <w:bCs/>
        </w:rPr>
        <w:t>Transparency versus gaming and privacy.</w:t>
      </w:r>
      <w:r>
        <w:t xml:space="preserve"> Full disclosure of a credit model invites manipulation of the very features it scores, and patient-level explanations can leak protected information. More explanation is not monotonically better; the design question is who needs to know what.</w:t>
      </w:r>
    </w:p>
    <w:p w14:paraId="48F043C4" w14:textId="77777777" w:rsidR="008605A2" w:rsidRDefault="006C00E3">
      <w:pPr>
        <w:spacing w:after="160" w:line="300" w:lineRule="auto"/>
        <w:jc w:val="both"/>
      </w:pPr>
      <w:r>
        <w:rPr>
          <w:b/>
          <w:bCs/>
        </w:rPr>
        <w:t>Fairness versus fairness.</w:t>
      </w:r>
      <w:r>
        <w:t xml:space="preserve"> Section 2’s impossibility theorem is not an edge case; it guarantees that some stakeholder’s preferred metric will be unmet whenever base rates differ. The honest posture is to choose, justify, document, and accept contestation — not to claim the model is “fair” simpliciter.</w:t>
      </w:r>
    </w:p>
    <w:p w14:paraId="4464955D" w14:textId="77777777" w:rsidR="008605A2" w:rsidRDefault="006C00E3">
      <w:pPr>
        <w:spacing w:after="160" w:line="300" w:lineRule="auto"/>
        <w:jc w:val="both"/>
      </w:pPr>
      <w:r>
        <w:rPr>
          <w:b/>
          <w:bCs/>
        </w:rPr>
        <w:t>Accuracy versus intelligibility — sometimes.</w:t>
      </w:r>
      <w:r>
        <w:t xml:space="preserve"> Session 2 dismantled the universal trade-off; on unstructured data, the tension can be real. When it is, the choice of how much accuracy to spend for how much intelligibility is a value judgment about whose understanding matters.</w:t>
      </w:r>
    </w:p>
    <w:p w14:paraId="61C2DE7C" w14:textId="77777777" w:rsidR="008605A2" w:rsidRDefault="006C00E3">
      <w:pPr>
        <w:spacing w:after="160" w:line="300" w:lineRule="auto"/>
        <w:jc w:val="both"/>
      </w:pPr>
      <w:r>
        <w:rPr>
          <w:b/>
          <w:bCs/>
        </w:rPr>
        <w:t>Innovation versus precaution.</w:t>
      </w:r>
      <w:r>
        <w:t xml:space="preserve"> Deploying too early harms the people the system touches; deploying too late withholds benefits from them. Both errors have victims; neither is visible from inside a purely technical analysis.</w:t>
      </w:r>
    </w:p>
    <w:p w14:paraId="0BDE22C0" w14:textId="77777777" w:rsidR="008605A2" w:rsidRDefault="006C00E3">
      <w:pPr>
        <w:spacing w:after="160" w:line="300" w:lineRule="auto"/>
        <w:jc w:val="both"/>
      </w:pPr>
      <w:r>
        <w:rPr>
          <w:b/>
          <w:bCs/>
        </w:rPr>
        <w:t>Automation versus accountability.</w:t>
      </w:r>
      <w:r>
        <w:t xml:space="preserve"> The Tempe and Robodebt cases bracket this tension: a human “in the loop” who cannot meaningfully intervene is an accountability sponge, absorbing blame without adding safety. Article 14’s demand for effective oversight is a demand for institutional honesty about whether the human role is real.</w:t>
      </w:r>
    </w:p>
    <w:p w14:paraId="63E7E236" w14:textId="77777777" w:rsidR="008605A2" w:rsidRDefault="006C00E3">
      <w:pPr>
        <w:pStyle w:val="Heading1"/>
        <w:spacing w:before="280" w:after="160"/>
      </w:pPr>
      <w:r>
        <w:t>8. Closing the loop: artificial cognition, revisited</w:t>
      </w:r>
    </w:p>
    <w:p w14:paraId="51DE0FE0" w14:textId="77777777" w:rsidR="008605A2" w:rsidRDefault="006C00E3">
      <w:pPr>
        <w:spacing w:after="160" w:line="300" w:lineRule="auto"/>
        <w:jc w:val="both"/>
      </w:pPr>
      <w:r>
        <w:t>Session 1 opened this course with a proposal: treat AI systems as objects of cognitive study — systems whose competences and failure modes we probe with the experimental patience psychologists bring to human minds.</w:t>
      </w:r>
      <w:r>
        <w:rPr>
          <w:rStyle w:val="FootnoteReference"/>
        </w:rPr>
        <w:footnoteReference w:id="16"/>
      </w:r>
      <w:r>
        <w:t xml:space="preserve"> Five sessions later, the proposal can be restated as a professional method. The XAI techniques of Session 3 are the experimental instruments. The deployment contexts of Session 4 are the field sites. The governance machinery of this session is the laboratory’s ethics committee, the peer review, and the replication culture — the institutional practices that turn isolated observations into trustworthy knowledge.</w:t>
      </w:r>
    </w:p>
    <w:p w14:paraId="4F13F18C" w14:textId="77777777" w:rsidR="008605A2" w:rsidRDefault="006C00E3">
      <w:pPr>
        <w:spacing w:after="160" w:line="300" w:lineRule="auto"/>
        <w:jc w:val="both"/>
      </w:pPr>
      <w:r>
        <w:t xml:space="preserve">The integrative project that closes this course asks you to bring the five sessions to bear on a single case from your own professional world: identify the decision an AI system makes or will </w:t>
      </w:r>
      <w:r>
        <w:lastRenderedPageBreak/>
        <w:t>make; classify its risk tier; name its plausible bias entry points; choose the explanation techniques each audience needs; specify the collaboration topology; and design the governance wrapper — roles, documents, audit cycle, incident path — that would let your organisation defend the deployment to a regulator, a journalist, and the person affected. If you can do that, the course has done its work.</w:t>
      </w:r>
    </w:p>
    <w:p w14:paraId="4B265449" w14:textId="77777777" w:rsidR="008605A2" w:rsidRDefault="006C00E3">
      <w:pPr>
        <w:spacing w:after="160" w:line="300" w:lineRule="auto"/>
        <w:jc w:val="both"/>
      </w:pPr>
      <w:r>
        <w:t xml:space="preserve">A final orientation. The glass box of this course’s title was never just the model. The aspiration of responsible AI is that the whole arrangement — data, model, explanation, institution — be transparent enough to be questioned and robust enough to withstand the questioning. Technology will keep moving; the regulatory text will be amended; the techniques of Session 3 will be superseded by better ones. What will not change is the structure of the obligation: those who deploy systems that decide about people </w:t>
      </w:r>
      <w:r>
        <w:t>owe those people an account. Everything in these five sessions is, in the end, apparatus for honouring that debt.</w:t>
      </w:r>
    </w:p>
    <w:p w14:paraId="187C58DA" w14:textId="77777777" w:rsidR="008605A2" w:rsidRDefault="006C00E3">
      <w:pPr>
        <w:spacing w:before="80" w:after="200"/>
        <w:jc w:val="center"/>
      </w:pPr>
      <w:r>
        <w:rPr>
          <w:color w:val="BFBFBF"/>
          <w:sz w:val="18"/>
          <w:szCs w:val="18"/>
        </w:rPr>
        <w:t>————————————————————————————————————————</w:t>
      </w:r>
    </w:p>
    <w:p w14:paraId="75695EFC" w14:textId="77777777" w:rsidR="008605A2" w:rsidRDefault="006C00E3">
      <w:r>
        <w:br w:type="page"/>
      </w:r>
    </w:p>
    <w:p w14:paraId="666DE7CD" w14:textId="77777777" w:rsidR="008605A2" w:rsidRDefault="006C00E3">
      <w:pPr>
        <w:pStyle w:val="Heading1"/>
        <w:spacing w:before="280" w:after="160"/>
      </w:pPr>
      <w:r>
        <w:lastRenderedPageBreak/>
        <w:t>Bibliography</w:t>
      </w:r>
    </w:p>
    <w:p w14:paraId="21627FDD" w14:textId="77777777" w:rsidR="008605A2" w:rsidRDefault="006C00E3">
      <w:pPr>
        <w:spacing w:after="140" w:line="280" w:lineRule="auto"/>
        <w:ind w:left="360" w:hanging="360"/>
      </w:pPr>
      <w:r>
        <w:t xml:space="preserve">Angwin, J., J. Larson, S. Mattu, and L. Kirchner, ‘Machine Bias’, </w:t>
      </w:r>
      <w:r>
        <w:rPr>
          <w:i/>
          <w:iCs/>
        </w:rPr>
        <w:t>ProPublica</w:t>
      </w:r>
      <w:r>
        <w:t xml:space="preserve"> (23 May 2016).</w:t>
      </w:r>
    </w:p>
    <w:p w14:paraId="5ACFF356" w14:textId="77777777" w:rsidR="008605A2" w:rsidRDefault="006C00E3">
      <w:pPr>
        <w:spacing w:after="140" w:line="280" w:lineRule="auto"/>
        <w:ind w:left="360" w:hanging="360"/>
      </w:pPr>
      <w:r>
        <w:t xml:space="preserve">Australian Government, Department of Industry, Science and Resources, </w:t>
      </w:r>
      <w:r>
        <w:rPr>
          <w:i/>
          <w:iCs/>
        </w:rPr>
        <w:t>Australia’s AI Ethics Principles</w:t>
      </w:r>
      <w:r>
        <w:t xml:space="preserve"> (Canberra: DISR, 2019).</w:t>
      </w:r>
    </w:p>
    <w:p w14:paraId="76B710F7" w14:textId="77777777" w:rsidR="008605A2" w:rsidRDefault="006C00E3">
      <w:pPr>
        <w:spacing w:after="140" w:line="280" w:lineRule="auto"/>
        <w:ind w:left="360" w:hanging="360"/>
      </w:pPr>
      <w:r>
        <w:t xml:space="preserve">Australian Government, Department of Industry, Science and Resources, </w:t>
      </w:r>
      <w:r>
        <w:rPr>
          <w:i/>
          <w:iCs/>
        </w:rPr>
        <w:t>Voluntary AI Safety Standard</w:t>
      </w:r>
      <w:r>
        <w:t xml:space="preserve"> (Canberra: DISR, September 2024).</w:t>
      </w:r>
    </w:p>
    <w:p w14:paraId="6812D50E" w14:textId="77777777" w:rsidR="008605A2" w:rsidRDefault="006C00E3">
      <w:pPr>
        <w:spacing w:after="140" w:line="280" w:lineRule="auto"/>
        <w:ind w:left="360" w:hanging="360"/>
      </w:pPr>
      <w:r>
        <w:t xml:space="preserve">Buolamwini, J., and T. Gebru, ‘Gender Shades: Intersectional Accuracy Disparities in Commercial Gender Classification’, in </w:t>
      </w:r>
      <w:r>
        <w:rPr>
          <w:i/>
          <w:iCs/>
        </w:rPr>
        <w:t>Proceedings of the 1st Conference on Fairness, Accountability and Transparency</w:t>
      </w:r>
      <w:r>
        <w:t xml:space="preserve"> (PMLR 81, 2018), 77–91.</w:t>
      </w:r>
    </w:p>
    <w:p w14:paraId="358467B5" w14:textId="77777777" w:rsidR="008605A2" w:rsidRDefault="006C00E3">
      <w:pPr>
        <w:spacing w:after="140" w:line="280" w:lineRule="auto"/>
        <w:ind w:left="360" w:hanging="360"/>
      </w:pPr>
      <w:r>
        <w:t xml:space="preserve">Chouldechova, A., ‘Fair Prediction with Disparate Impact: A Study of Bias in Recidivism Prediction Instruments’, </w:t>
      </w:r>
      <w:r>
        <w:rPr>
          <w:i/>
          <w:iCs/>
        </w:rPr>
        <w:t>Big Data</w:t>
      </w:r>
      <w:r>
        <w:t>, vol. 5, no. 2 (2017), 153–163.</w:t>
      </w:r>
    </w:p>
    <w:p w14:paraId="338B5AA1" w14:textId="77777777" w:rsidR="008605A2" w:rsidRDefault="006C00E3">
      <w:pPr>
        <w:spacing w:after="140" w:line="280" w:lineRule="auto"/>
        <w:ind w:left="360" w:hanging="360"/>
      </w:pPr>
      <w:r>
        <w:t xml:space="preserve">Dastin, J., ‘Amazon Scraps Secret AI Recruiting Tool That Showed Bias against Women’, </w:t>
      </w:r>
      <w:r>
        <w:rPr>
          <w:i/>
          <w:iCs/>
        </w:rPr>
        <w:t>Reuters</w:t>
      </w:r>
      <w:r>
        <w:t xml:space="preserve"> (10 October 2018).</w:t>
      </w:r>
    </w:p>
    <w:p w14:paraId="04209E18" w14:textId="77777777" w:rsidR="008605A2" w:rsidRDefault="006C00E3">
      <w:pPr>
        <w:spacing w:after="140" w:line="280" w:lineRule="auto"/>
        <w:ind w:left="360" w:hanging="360"/>
      </w:pPr>
      <w:r>
        <w:t>European Union, Regulation (EU) 2024/1689 (Artificial Intelligence Act), [2024] OJ L 1689/1.</w:t>
      </w:r>
    </w:p>
    <w:p w14:paraId="725DBCC2" w14:textId="77777777" w:rsidR="008605A2" w:rsidRDefault="006C00E3">
      <w:pPr>
        <w:spacing w:after="140" w:line="280" w:lineRule="auto"/>
        <w:ind w:left="360" w:hanging="360"/>
      </w:pPr>
      <w:r>
        <w:t xml:space="preserve">Gebru, T., J. Morgenstern, B. Vecchione, J. Wortman Vaughan, H. Wallach, H. Daumé III, and K. Crawford, ‘Datasheets for Datasets’, </w:t>
      </w:r>
      <w:r>
        <w:rPr>
          <w:i/>
          <w:iCs/>
        </w:rPr>
        <w:t>Communications of the ACM</w:t>
      </w:r>
      <w:r>
        <w:t>, vol. 64, no. 12 (2021), 86–92.</w:t>
      </w:r>
    </w:p>
    <w:p w14:paraId="111F479B" w14:textId="77777777" w:rsidR="008605A2" w:rsidRDefault="006C00E3">
      <w:pPr>
        <w:spacing w:after="140" w:line="280" w:lineRule="auto"/>
        <w:ind w:left="360" w:hanging="360"/>
      </w:pPr>
      <w:r>
        <w:t xml:space="preserve">ISO/IEC 42001:2023, </w:t>
      </w:r>
      <w:r>
        <w:rPr>
          <w:i/>
          <w:iCs/>
        </w:rPr>
        <w:t>Information Technology — Artificial Intelligence — Management System</w:t>
      </w:r>
      <w:r>
        <w:t xml:space="preserve"> (Geneva: ISO/IEC, 2023).</w:t>
      </w:r>
    </w:p>
    <w:p w14:paraId="780AB2C9" w14:textId="77777777" w:rsidR="008605A2" w:rsidRDefault="006C00E3">
      <w:pPr>
        <w:spacing w:after="140" w:line="280" w:lineRule="auto"/>
        <w:ind w:left="360" w:hanging="360"/>
      </w:pPr>
      <w:r>
        <w:t xml:space="preserve">Kleinberg, J., S. Mullainathan, and M. Raghavan, ‘Inherent Trade-Offs in the Fair Determination of Risk Scores’, in </w:t>
      </w:r>
      <w:r>
        <w:rPr>
          <w:i/>
          <w:iCs/>
        </w:rPr>
        <w:t>Proceedings of the 8th Innovations in Theoretical Computer Science Conference</w:t>
      </w:r>
      <w:r>
        <w:t xml:space="preserve"> (ITCS 2017), 43:1–43:23.</w:t>
      </w:r>
    </w:p>
    <w:p w14:paraId="4D79D309" w14:textId="77777777" w:rsidR="008605A2" w:rsidRDefault="006C00E3">
      <w:pPr>
        <w:spacing w:after="140" w:line="280" w:lineRule="auto"/>
        <w:ind w:left="360" w:hanging="360"/>
      </w:pPr>
      <w:r>
        <w:t xml:space="preserve">Mitchell, M., S. Wu, A. Zaldivar, P. Barnes, L. Vasserman, B. Hutchinson, E. Spitzer, I. D. Raji, and T. Gebru, ‘Model Cards for Model Reporting’, in </w:t>
      </w:r>
      <w:r>
        <w:rPr>
          <w:i/>
          <w:iCs/>
        </w:rPr>
        <w:t>Proceedings of the Conference on Fairness, Accountability, and Transparency</w:t>
      </w:r>
      <w:r>
        <w:t xml:space="preserve"> (New York: ACM, 2019), 220–229.</w:t>
      </w:r>
    </w:p>
    <w:p w14:paraId="55A1F096" w14:textId="77777777" w:rsidR="008605A2" w:rsidRDefault="006C00E3">
      <w:pPr>
        <w:spacing w:after="140" w:line="280" w:lineRule="auto"/>
        <w:ind w:left="360" w:hanging="360"/>
      </w:pPr>
      <w:r>
        <w:t xml:space="preserve">NIST, </w:t>
      </w:r>
      <w:r>
        <w:rPr>
          <w:i/>
          <w:iCs/>
        </w:rPr>
        <w:t>Artificial Intelligence Risk Management Framework (AI RMF 1.0)</w:t>
      </w:r>
      <w:r>
        <w:t xml:space="preserve"> (Gaithersburg MD: National Institute of Standards and Technology, January 2023).</w:t>
      </w:r>
    </w:p>
    <w:p w14:paraId="40978F0C" w14:textId="77777777" w:rsidR="008605A2" w:rsidRDefault="006C00E3">
      <w:pPr>
        <w:spacing w:after="140" w:line="280" w:lineRule="auto"/>
        <w:ind w:left="360" w:hanging="360"/>
      </w:pPr>
      <w:r>
        <w:t xml:space="preserve">Obermeyer, Z., B. Powers, C. Vogeli, and S. Mullainathan, ‘Dissecting Racial Bias in an Algorithm Used to Manage the Health of Populations’, </w:t>
      </w:r>
      <w:r>
        <w:rPr>
          <w:i/>
          <w:iCs/>
        </w:rPr>
        <w:t>Science</w:t>
      </w:r>
      <w:r>
        <w:t>, vol. 366, no. 6464 (2019), 447–453.</w:t>
      </w:r>
    </w:p>
    <w:p w14:paraId="1157900F" w14:textId="77777777" w:rsidR="008605A2" w:rsidRDefault="006C00E3">
      <w:pPr>
        <w:spacing w:after="140" w:line="280" w:lineRule="auto"/>
        <w:ind w:left="360" w:hanging="360"/>
      </w:pPr>
      <w:r>
        <w:t xml:space="preserve">OECD, </w:t>
      </w:r>
      <w:r>
        <w:rPr>
          <w:i/>
          <w:iCs/>
        </w:rPr>
        <w:t>Recommendation of the Council on Artificial Intelligence</w:t>
      </w:r>
      <w:r>
        <w:t>, OECD/LEGAL/0449 (adopted 22 May 2019; amended 3 May 2024).</w:t>
      </w:r>
    </w:p>
    <w:p w14:paraId="673E5AFA" w14:textId="77777777" w:rsidR="008605A2" w:rsidRDefault="006C00E3">
      <w:pPr>
        <w:spacing w:after="140" w:line="280" w:lineRule="auto"/>
        <w:ind w:left="360" w:hanging="360"/>
      </w:pPr>
      <w:r>
        <w:t xml:space="preserve">Pearl, J., and D. Mackenzie, </w:t>
      </w:r>
      <w:r>
        <w:rPr>
          <w:i/>
          <w:iCs/>
        </w:rPr>
        <w:t>The Book of Why: The New Science of Cause and Effect</w:t>
      </w:r>
      <w:r>
        <w:t xml:space="preserve"> (New York: Basic Books, 2018).</w:t>
      </w:r>
    </w:p>
    <w:p w14:paraId="5E350641" w14:textId="77777777" w:rsidR="008605A2" w:rsidRDefault="006C00E3">
      <w:pPr>
        <w:spacing w:after="140" w:line="280" w:lineRule="auto"/>
        <w:ind w:left="360" w:hanging="360"/>
      </w:pPr>
      <w:r>
        <w:t xml:space="preserve">Raji, I. D., A. Smart, R. N. White, M. Mitchell, T. Gebru, B. Hutchinson, J. Smith-Loud, D. Theron, and P. Barnes, ‘Closing the AI Accountability Gap: Defining an End-to-End </w:t>
      </w:r>
      <w:r>
        <w:lastRenderedPageBreak/>
        <w:t xml:space="preserve">Framework for Internal Algorithmic Auditing’, in </w:t>
      </w:r>
      <w:r>
        <w:rPr>
          <w:i/>
          <w:iCs/>
        </w:rPr>
        <w:t>Proceedings of the 2020 Conference on Fairness, Accountability, and Transparency</w:t>
      </w:r>
      <w:r>
        <w:t xml:space="preserve"> (New York: ACM, 2020), 33–44.</w:t>
      </w:r>
    </w:p>
    <w:p w14:paraId="333DD8DC" w14:textId="77777777" w:rsidR="008605A2" w:rsidRDefault="006C00E3">
      <w:pPr>
        <w:spacing w:after="140" w:line="280" w:lineRule="auto"/>
        <w:ind w:left="360" w:hanging="360"/>
      </w:pPr>
      <w:r>
        <w:t xml:space="preserve">Royal Commission into the Robodebt Scheme, </w:t>
      </w:r>
      <w:r>
        <w:rPr>
          <w:i/>
          <w:iCs/>
        </w:rPr>
        <w:t>Report</w:t>
      </w:r>
      <w:r>
        <w:t xml:space="preserve"> (Commonwealth of Australia, 7 July 2023).</w:t>
      </w:r>
    </w:p>
    <w:p w14:paraId="66B54351" w14:textId="77777777" w:rsidR="008605A2" w:rsidRDefault="006C00E3">
      <w:pPr>
        <w:spacing w:after="140" w:line="280" w:lineRule="auto"/>
        <w:ind w:left="360" w:hanging="360"/>
      </w:pPr>
      <w:r>
        <w:t xml:space="preserve">Rudin, C., ‘Stop Explaining Black Box Machine Learning Models for High Stakes Decisions and Use Interpretable Models Instead’, </w:t>
      </w:r>
      <w:r>
        <w:rPr>
          <w:i/>
          <w:iCs/>
        </w:rPr>
        <w:t>Nature Machine Intelligence</w:t>
      </w:r>
      <w:r>
        <w:t>, vol. 1, no. 5 (2019), 206–215.</w:t>
      </w:r>
    </w:p>
    <w:p w14:paraId="52E45AA2" w14:textId="77777777" w:rsidR="008605A2" w:rsidRDefault="006C00E3">
      <w:pPr>
        <w:spacing w:after="140" w:line="280" w:lineRule="auto"/>
        <w:ind w:left="360" w:hanging="360"/>
      </w:pPr>
      <w:r>
        <w:t xml:space="preserve">Siemens, G., et al., ‘Human and Artificial Cognition’, </w:t>
      </w:r>
      <w:r>
        <w:rPr>
          <w:i/>
          <w:iCs/>
        </w:rPr>
        <w:t>Computers and Education: Artificial Intelligence</w:t>
      </w:r>
      <w:r>
        <w:t>, vol. 3 (2022), 100107.</w:t>
      </w:r>
    </w:p>
    <w:p w14:paraId="1D75DB62" w14:textId="77777777" w:rsidR="008605A2" w:rsidRDefault="006C00E3">
      <w:pPr>
        <w:spacing w:after="140" w:line="280" w:lineRule="auto"/>
        <w:ind w:left="360" w:hanging="360"/>
      </w:pPr>
      <w:r>
        <w:t xml:space="preserve">Taylor, J. E. T., and G. W. Taylor, ‘Artificial Cognition: How Experimental Psychology Can Help Generate Explainable Artificial Intelligence’, </w:t>
      </w:r>
      <w:r>
        <w:rPr>
          <w:i/>
          <w:iCs/>
        </w:rPr>
        <w:t>Psychonomic Bulletin &amp; Review</w:t>
      </w:r>
      <w:r>
        <w:t>, vol. 28, no. 2 (2021), 454–475.</w:t>
      </w:r>
    </w:p>
    <w:p w14:paraId="4D6E12F8" w14:textId="77777777" w:rsidR="008605A2" w:rsidRDefault="006C00E3">
      <w:pPr>
        <w:spacing w:after="140" w:line="280" w:lineRule="auto"/>
        <w:ind w:left="360" w:hanging="360"/>
      </w:pPr>
      <w:r>
        <w:t xml:space="preserve">UNESCO, </w:t>
      </w:r>
      <w:r>
        <w:rPr>
          <w:i/>
          <w:iCs/>
        </w:rPr>
        <w:t>Recommendation on the Ethics of Artificial Intelligence</w:t>
      </w:r>
      <w:r>
        <w:t xml:space="preserve"> (Paris: UNESCO, adopted 23 November 2021).</w:t>
      </w:r>
    </w:p>
    <w:p w14:paraId="12DAA22B" w14:textId="77777777" w:rsidR="008605A2" w:rsidRDefault="006C00E3">
      <w:pPr>
        <w:spacing w:after="140" w:line="280" w:lineRule="auto"/>
        <w:ind w:left="360" w:hanging="360"/>
      </w:pPr>
      <w:r>
        <w:t xml:space="preserve">Wachter, S., B. Mittelstadt, and C. Russell, ‘Bias Preservation in Machine Learning: The Legality of Fairness Metrics under EU Non-Discrimination Law’, </w:t>
      </w:r>
      <w:r>
        <w:rPr>
          <w:i/>
          <w:iCs/>
        </w:rPr>
        <w:t>West Virginia Law Review</w:t>
      </w:r>
      <w:r>
        <w:t>, vol. 123 (2021), 735–790.</w:t>
      </w:r>
    </w:p>
    <w:sectPr w:rsidR="008605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990E7" w14:textId="77777777" w:rsidR="006C00E3" w:rsidRDefault="006C00E3">
      <w:r>
        <w:separator/>
      </w:r>
    </w:p>
  </w:endnote>
  <w:endnote w:type="continuationSeparator" w:id="0">
    <w:p w14:paraId="78525CD6" w14:textId="77777777" w:rsidR="006C00E3" w:rsidRDefault="006C0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9A5E" w14:textId="77777777" w:rsidR="008605A2" w:rsidRDefault="006C00E3">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8283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8283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210F4" w14:textId="77777777" w:rsidR="006C00E3" w:rsidRDefault="006C00E3">
      <w:r>
        <w:separator/>
      </w:r>
    </w:p>
  </w:footnote>
  <w:footnote w:type="continuationSeparator" w:id="0">
    <w:p w14:paraId="71DD06CC" w14:textId="77777777" w:rsidR="006C00E3" w:rsidRDefault="006C00E3">
      <w:r>
        <w:continuationSeparator/>
      </w:r>
    </w:p>
  </w:footnote>
  <w:footnote w:id="1">
    <w:p w14:paraId="281B6772" w14:textId="77777777" w:rsidR="008605A2" w:rsidRDefault="006C00E3">
      <w:pPr>
        <w:spacing w:after="60"/>
      </w:pPr>
      <w:r>
        <w:rPr>
          <w:rStyle w:val="FootnoteReference"/>
        </w:rPr>
        <w:footnoteRef/>
      </w:r>
      <w:r>
        <w:rPr>
          <w:sz w:val="18"/>
          <w:szCs w:val="18"/>
        </w:rPr>
        <w:t xml:space="preserve">Joy Buolamwini and Timnit Gebru, ‘Gender Shades: Intersectional Accuracy Disparities in Commercial Gender Classification’ in </w:t>
      </w:r>
      <w:r>
        <w:rPr>
          <w:i/>
          <w:iCs/>
          <w:sz w:val="18"/>
          <w:szCs w:val="18"/>
        </w:rPr>
        <w:t>Proceedings of the 1st Conference on Fairness, Accountability and Transparency</w:t>
      </w:r>
      <w:r>
        <w:rPr>
          <w:sz w:val="18"/>
          <w:szCs w:val="18"/>
        </w:rPr>
        <w:t xml:space="preserve"> (PMLR 81, 2018) 77.</w:t>
      </w:r>
    </w:p>
  </w:footnote>
  <w:footnote w:id="2">
    <w:p w14:paraId="3E5C4952" w14:textId="77777777" w:rsidR="008605A2" w:rsidRDefault="006C00E3">
      <w:pPr>
        <w:spacing w:after="60"/>
      </w:pPr>
      <w:r>
        <w:rPr>
          <w:rStyle w:val="FootnoteReference"/>
        </w:rPr>
        <w:footnoteRef/>
      </w:r>
      <w:r>
        <w:rPr>
          <w:sz w:val="18"/>
          <w:szCs w:val="18"/>
        </w:rPr>
        <w:t xml:space="preserve">Ziad Obermeyer, Brian Powers, Christine Vogeli and Sendhil Mullainathan, ‘Dissecting Racial Bias in an Algorithm Used to Manage the Health of Populations’ (2019) 366(6464) </w:t>
      </w:r>
      <w:r>
        <w:rPr>
          <w:i/>
          <w:iCs/>
          <w:sz w:val="18"/>
          <w:szCs w:val="18"/>
        </w:rPr>
        <w:t>Science</w:t>
      </w:r>
      <w:r>
        <w:rPr>
          <w:sz w:val="18"/>
          <w:szCs w:val="18"/>
        </w:rPr>
        <w:t xml:space="preserve"> 447.</w:t>
      </w:r>
    </w:p>
  </w:footnote>
  <w:footnote w:id="3">
    <w:p w14:paraId="75759E83" w14:textId="77777777" w:rsidR="008605A2" w:rsidRDefault="006C00E3">
      <w:pPr>
        <w:spacing w:after="60"/>
      </w:pPr>
      <w:r>
        <w:rPr>
          <w:rStyle w:val="FootnoteReference"/>
        </w:rPr>
        <w:footnoteRef/>
      </w:r>
      <w:r>
        <w:rPr>
          <w:sz w:val="18"/>
          <w:szCs w:val="18"/>
        </w:rPr>
        <w:t xml:space="preserve">Jeffrey Dastin, ‘Amazon Scraps Secret AI Recruiting Tool That Showed Bias against Women’, </w:t>
      </w:r>
      <w:r>
        <w:rPr>
          <w:i/>
          <w:iCs/>
          <w:sz w:val="18"/>
          <w:szCs w:val="18"/>
        </w:rPr>
        <w:t>Reuters</w:t>
      </w:r>
      <w:r>
        <w:rPr>
          <w:sz w:val="18"/>
          <w:szCs w:val="18"/>
        </w:rPr>
        <w:t xml:space="preserve"> (San Francisco, 10 October 2018).</w:t>
      </w:r>
    </w:p>
  </w:footnote>
  <w:footnote w:id="4">
    <w:p w14:paraId="3C4EEB9F" w14:textId="77777777" w:rsidR="008605A2" w:rsidRDefault="006C00E3">
      <w:pPr>
        <w:spacing w:after="60"/>
      </w:pPr>
      <w:r>
        <w:rPr>
          <w:rStyle w:val="FootnoteReference"/>
        </w:rPr>
        <w:footnoteRef/>
      </w:r>
      <w:r>
        <w:rPr>
          <w:sz w:val="18"/>
          <w:szCs w:val="18"/>
        </w:rPr>
        <w:t xml:space="preserve">Julia Angwin, Jeff Larson, Surya Mattu and Lauren Kirchner, ‘Machine Bias’, </w:t>
      </w:r>
      <w:r>
        <w:rPr>
          <w:i/>
          <w:iCs/>
          <w:sz w:val="18"/>
          <w:szCs w:val="18"/>
        </w:rPr>
        <w:t>ProPublica</w:t>
      </w:r>
      <w:r>
        <w:rPr>
          <w:sz w:val="18"/>
          <w:szCs w:val="18"/>
        </w:rPr>
        <w:t xml:space="preserve"> (23 May 2016).</w:t>
      </w:r>
    </w:p>
  </w:footnote>
  <w:footnote w:id="5">
    <w:p w14:paraId="3AB1F91F" w14:textId="77777777" w:rsidR="008605A2" w:rsidRDefault="006C00E3">
      <w:pPr>
        <w:spacing w:after="60"/>
      </w:pPr>
      <w:r>
        <w:rPr>
          <w:rStyle w:val="FootnoteReference"/>
        </w:rPr>
        <w:footnoteRef/>
      </w:r>
      <w:r>
        <w:rPr>
          <w:sz w:val="18"/>
          <w:szCs w:val="18"/>
        </w:rPr>
        <w:t xml:space="preserve">Jon Kleinberg, Sendhil Mullainathan and Manish Raghavan, ‘Inherent Trade-Offs in the Fair Determination of Risk Scores’ in </w:t>
      </w:r>
      <w:r>
        <w:rPr>
          <w:i/>
          <w:iCs/>
          <w:sz w:val="18"/>
          <w:szCs w:val="18"/>
        </w:rPr>
        <w:t>Proceedings of the 8th Innovations in Theoretical Computer Science Conference</w:t>
      </w:r>
      <w:r>
        <w:rPr>
          <w:sz w:val="18"/>
          <w:szCs w:val="18"/>
        </w:rPr>
        <w:t xml:space="preserve"> (ITCS 2017) 43:1; Alexandra Chouldechova, ‘Fair Prediction with Disparate Impact: A Study of Bias in Recidivism Prediction Instruments’ (2017) 5(2) </w:t>
      </w:r>
      <w:r>
        <w:rPr>
          <w:i/>
          <w:iCs/>
          <w:sz w:val="18"/>
          <w:szCs w:val="18"/>
        </w:rPr>
        <w:t>Big Data</w:t>
      </w:r>
      <w:r>
        <w:rPr>
          <w:sz w:val="18"/>
          <w:szCs w:val="18"/>
        </w:rPr>
        <w:t xml:space="preserve"> 153.</w:t>
      </w:r>
    </w:p>
  </w:footnote>
  <w:footnote w:id="6">
    <w:p w14:paraId="58AEE33E" w14:textId="77777777" w:rsidR="008605A2" w:rsidRDefault="006C00E3">
      <w:pPr>
        <w:spacing w:after="60"/>
      </w:pPr>
      <w:r>
        <w:rPr>
          <w:rStyle w:val="FootnoteReference"/>
        </w:rPr>
        <w:footnoteRef/>
      </w:r>
      <w:r>
        <w:rPr>
          <w:sz w:val="18"/>
          <w:szCs w:val="18"/>
        </w:rPr>
        <w:t xml:space="preserve">Sandra Wachter, Brent Mittelstadt and Chris Russell, ‘Bias Preservation in Machine Learning: The Legality of Fairness Metrics under EU Non-Discrimination Law’ (2021) 123 </w:t>
      </w:r>
      <w:r>
        <w:rPr>
          <w:i/>
          <w:iCs/>
          <w:sz w:val="18"/>
          <w:szCs w:val="18"/>
        </w:rPr>
        <w:t>West Virginia Law Review</w:t>
      </w:r>
      <w:r>
        <w:rPr>
          <w:sz w:val="18"/>
          <w:szCs w:val="18"/>
        </w:rPr>
        <w:t xml:space="preserve"> 735.</w:t>
      </w:r>
    </w:p>
  </w:footnote>
  <w:footnote w:id="7">
    <w:p w14:paraId="48509837" w14:textId="77777777" w:rsidR="008605A2" w:rsidRDefault="006C00E3">
      <w:pPr>
        <w:spacing w:after="60"/>
      </w:pPr>
      <w:r>
        <w:rPr>
          <w:rStyle w:val="FootnoteReference"/>
        </w:rPr>
        <w:footnoteRef/>
      </w:r>
      <w:r>
        <w:rPr>
          <w:sz w:val="18"/>
          <w:szCs w:val="18"/>
        </w:rPr>
        <w:t>Regulation (EU) 2024/1689 of the European Parliament and of the Council of 13 June 2024 laying down harmonised rules on artificial intelligence (Artificial Intelligence Act) [2024] OJ L 1689/1, arts 5 (prohibited practices), 6 and Annex III (high-risk classification), 50 (transparency obligations for certain AI systems), 99 (penalties).</w:t>
      </w:r>
    </w:p>
  </w:footnote>
  <w:footnote w:id="8">
    <w:p w14:paraId="56EC55E3" w14:textId="77777777" w:rsidR="008605A2" w:rsidRDefault="006C00E3">
      <w:pPr>
        <w:spacing w:after="60"/>
      </w:pPr>
      <w:r>
        <w:rPr>
          <w:rStyle w:val="FootnoteReference"/>
        </w:rPr>
        <w:footnoteRef/>
      </w:r>
      <w:r>
        <w:rPr>
          <w:sz w:val="18"/>
          <w:szCs w:val="18"/>
        </w:rPr>
        <w:t>ibid arts 9 (risk management system), 10 (data and data governance), 11 and Annex IV (technical documentation), 13 (transparency), 14 (human oversight), 17 (quality management system), 26 (obligations of deployers), 72 (post-market monitoring), 86 (right to explanation).</w:t>
      </w:r>
    </w:p>
  </w:footnote>
  <w:footnote w:id="9">
    <w:p w14:paraId="43A7D27C" w14:textId="77777777" w:rsidR="008605A2" w:rsidRDefault="006C00E3">
      <w:pPr>
        <w:spacing w:after="60"/>
      </w:pPr>
      <w:r>
        <w:rPr>
          <w:rStyle w:val="FootnoteReference"/>
        </w:rPr>
        <w:footnoteRef/>
      </w:r>
      <w:r>
        <w:rPr>
          <w:sz w:val="18"/>
          <w:szCs w:val="18"/>
        </w:rPr>
        <w:t xml:space="preserve">OECD, </w:t>
      </w:r>
      <w:r>
        <w:rPr>
          <w:i/>
          <w:iCs/>
          <w:sz w:val="18"/>
          <w:szCs w:val="18"/>
        </w:rPr>
        <w:t>Recommendation of the Council on Artificial Intelligence</w:t>
      </w:r>
      <w:r>
        <w:rPr>
          <w:sz w:val="18"/>
          <w:szCs w:val="18"/>
        </w:rPr>
        <w:t xml:space="preserve"> OECD/LEGAL/0449 (adopted 22 May 2019, amended 3 May 2024); UNESCO, </w:t>
      </w:r>
      <w:r>
        <w:rPr>
          <w:i/>
          <w:iCs/>
          <w:sz w:val="18"/>
          <w:szCs w:val="18"/>
        </w:rPr>
        <w:t>Recommendation on the Ethics of Artificial Intelligence</w:t>
      </w:r>
      <w:r>
        <w:rPr>
          <w:sz w:val="18"/>
          <w:szCs w:val="18"/>
        </w:rPr>
        <w:t xml:space="preserve"> (adopted 23 November 2021); NIST, </w:t>
      </w:r>
      <w:r>
        <w:rPr>
          <w:i/>
          <w:iCs/>
          <w:sz w:val="18"/>
          <w:szCs w:val="18"/>
        </w:rPr>
        <w:t>Artificial Intelligence Risk Management Framework (AI RMF 1.0)</w:t>
      </w:r>
      <w:r>
        <w:rPr>
          <w:sz w:val="18"/>
          <w:szCs w:val="18"/>
        </w:rPr>
        <w:t xml:space="preserve"> (Gaithersburg MD: NIST, January 2023).</w:t>
      </w:r>
    </w:p>
  </w:footnote>
  <w:footnote w:id="10">
    <w:p w14:paraId="1842C3E7" w14:textId="77777777" w:rsidR="008605A2" w:rsidRDefault="006C00E3">
      <w:pPr>
        <w:spacing w:after="60"/>
      </w:pPr>
      <w:r>
        <w:rPr>
          <w:rStyle w:val="FootnoteReference"/>
        </w:rPr>
        <w:footnoteRef/>
      </w:r>
      <w:r>
        <w:rPr>
          <w:sz w:val="18"/>
          <w:szCs w:val="18"/>
        </w:rPr>
        <w:t xml:space="preserve">Australian Government, Department of Industry, Science and Resources, </w:t>
      </w:r>
      <w:r>
        <w:rPr>
          <w:i/>
          <w:iCs/>
          <w:sz w:val="18"/>
          <w:szCs w:val="18"/>
        </w:rPr>
        <w:t>Australia’s AI Ethics Principles</w:t>
      </w:r>
      <w:r>
        <w:rPr>
          <w:sz w:val="18"/>
          <w:szCs w:val="18"/>
        </w:rPr>
        <w:t xml:space="preserve"> (2019); Department of Industry, Science and Resources, </w:t>
      </w:r>
      <w:r>
        <w:rPr>
          <w:i/>
          <w:iCs/>
          <w:sz w:val="18"/>
          <w:szCs w:val="18"/>
        </w:rPr>
        <w:t>Voluntary AI Safety Standard</w:t>
      </w:r>
      <w:r>
        <w:rPr>
          <w:sz w:val="18"/>
          <w:szCs w:val="18"/>
        </w:rPr>
        <w:t xml:space="preserve"> (September 2024) and the accompanying proposals paper on mandatory guardrails for AI in high-risk settings. Australia has at the time of writing favoured a principles-plus-guardrails approach over a single omnibus AI statute.</w:t>
      </w:r>
    </w:p>
  </w:footnote>
  <w:footnote w:id="11">
    <w:p w14:paraId="54623B20" w14:textId="77777777" w:rsidR="008605A2" w:rsidRDefault="006C00E3">
      <w:pPr>
        <w:spacing w:after="60"/>
      </w:pPr>
      <w:r>
        <w:rPr>
          <w:rStyle w:val="FootnoteReference"/>
        </w:rPr>
        <w:footnoteRef/>
      </w:r>
      <w:r>
        <w:rPr>
          <w:sz w:val="18"/>
          <w:szCs w:val="18"/>
        </w:rPr>
        <w:t xml:space="preserve">ISO/IEC 42001:2023, </w:t>
      </w:r>
      <w:r>
        <w:rPr>
          <w:i/>
          <w:iCs/>
          <w:sz w:val="18"/>
          <w:szCs w:val="18"/>
        </w:rPr>
        <w:t>Information Technology — Artificial Intelligence — Management System</w:t>
      </w:r>
      <w:r>
        <w:rPr>
          <w:sz w:val="18"/>
          <w:szCs w:val="18"/>
        </w:rPr>
        <w:t xml:space="preserve"> (Geneva: ISO/IEC, December 2023).</w:t>
      </w:r>
    </w:p>
  </w:footnote>
  <w:footnote w:id="12">
    <w:p w14:paraId="57831C08" w14:textId="77777777" w:rsidR="008605A2" w:rsidRDefault="006C00E3">
      <w:pPr>
        <w:spacing w:after="60"/>
      </w:pPr>
      <w:r>
        <w:rPr>
          <w:rStyle w:val="FootnoteReference"/>
        </w:rPr>
        <w:footnoteRef/>
      </w:r>
      <w:r>
        <w:rPr>
          <w:sz w:val="18"/>
          <w:szCs w:val="18"/>
        </w:rPr>
        <w:t xml:space="preserve">Margaret Mitchell, Simone Wu, Andrew Zaldivar, Parker Barnes, Lucy Vasserman, Ben Hutchinson, Elena Spitzer, Inioluwa Deborah Raji and Timnit Gebru, ‘Model Cards for Model Reporting’ in </w:t>
      </w:r>
      <w:r>
        <w:rPr>
          <w:i/>
          <w:iCs/>
          <w:sz w:val="18"/>
          <w:szCs w:val="18"/>
        </w:rPr>
        <w:t>Proceedings of the Conference on Fairness, Accountability, and Transparency</w:t>
      </w:r>
      <w:r>
        <w:rPr>
          <w:sz w:val="18"/>
          <w:szCs w:val="18"/>
        </w:rPr>
        <w:t xml:space="preserve"> (FAT* 2019, ACM) 220; Timnit Gebru, Jamie Morgenstern, Briana Vecchione, Jennifer Wortman Vaughan, Hanna Wallach, Hal Daumé III and Kate Crawford, ‘Datasheets for Datasets’ (2021) 64(12) </w:t>
      </w:r>
      <w:r>
        <w:rPr>
          <w:i/>
          <w:iCs/>
          <w:sz w:val="18"/>
          <w:szCs w:val="18"/>
        </w:rPr>
        <w:t>Communications of the ACM</w:t>
      </w:r>
      <w:r>
        <w:rPr>
          <w:sz w:val="18"/>
          <w:szCs w:val="18"/>
        </w:rPr>
        <w:t xml:space="preserve"> 86.</w:t>
      </w:r>
    </w:p>
  </w:footnote>
  <w:footnote w:id="13">
    <w:p w14:paraId="5BD73DD7" w14:textId="77777777" w:rsidR="008605A2" w:rsidRDefault="006C00E3">
      <w:pPr>
        <w:spacing w:after="60"/>
      </w:pPr>
      <w:r>
        <w:rPr>
          <w:rStyle w:val="FootnoteReference"/>
        </w:rPr>
        <w:footnoteRef/>
      </w:r>
      <w:r>
        <w:rPr>
          <w:sz w:val="18"/>
          <w:szCs w:val="18"/>
        </w:rPr>
        <w:t xml:space="preserve">Inioluwa Deborah Raji, Andrew Smart, Rebecca N. White, Margaret Mitchell, Timnit Gebru, Ben Hutchinson, Jamila Smith-Loud, Daniel Theron and Parker Barnes, ‘Closing the AI Accountability Gap: Defining an End-to-End Framework for Internal Algorithmic Auditing’ in </w:t>
      </w:r>
      <w:r>
        <w:rPr>
          <w:i/>
          <w:iCs/>
          <w:sz w:val="18"/>
          <w:szCs w:val="18"/>
        </w:rPr>
        <w:t>Proceedings of the 2020 Conference on Fairness, Accountability, and Transparency</w:t>
      </w:r>
      <w:r>
        <w:rPr>
          <w:sz w:val="18"/>
          <w:szCs w:val="18"/>
        </w:rPr>
        <w:t xml:space="preserve"> (FAT* 2020, ACM) 33.</w:t>
      </w:r>
    </w:p>
  </w:footnote>
  <w:footnote w:id="14">
    <w:p w14:paraId="6B6C4043" w14:textId="77777777" w:rsidR="008605A2" w:rsidRDefault="006C00E3">
      <w:pPr>
        <w:spacing w:after="60"/>
      </w:pPr>
      <w:r>
        <w:rPr>
          <w:rStyle w:val="FootnoteReference"/>
        </w:rPr>
        <w:footnoteRef/>
      </w:r>
      <w:r>
        <w:rPr>
          <w:sz w:val="18"/>
          <w:szCs w:val="18"/>
        </w:rPr>
        <w:t xml:space="preserve">Cynthia Rudin, ‘Stop Explaining Black Box Machine Learning Models for High Stakes Decisions and Use Interpretable Models Instead’ (2019) 1(5) </w:t>
      </w:r>
      <w:r>
        <w:rPr>
          <w:i/>
          <w:iCs/>
          <w:sz w:val="18"/>
          <w:szCs w:val="18"/>
        </w:rPr>
        <w:t>Nature Machine Intelligence</w:t>
      </w:r>
      <w:r>
        <w:rPr>
          <w:sz w:val="18"/>
          <w:szCs w:val="18"/>
        </w:rPr>
        <w:t xml:space="preserve"> 206.</w:t>
      </w:r>
    </w:p>
  </w:footnote>
  <w:footnote w:id="15">
    <w:p w14:paraId="32EA3E68" w14:textId="77777777" w:rsidR="008605A2" w:rsidRDefault="006C00E3">
      <w:pPr>
        <w:spacing w:after="60"/>
      </w:pPr>
      <w:r>
        <w:rPr>
          <w:rStyle w:val="FootnoteReference"/>
        </w:rPr>
        <w:footnoteRef/>
      </w:r>
      <w:r>
        <w:rPr>
          <w:sz w:val="18"/>
          <w:szCs w:val="18"/>
        </w:rPr>
        <w:t xml:space="preserve">Judea Pearl and Dana Mackenzie, </w:t>
      </w:r>
      <w:r>
        <w:rPr>
          <w:i/>
          <w:iCs/>
          <w:sz w:val="18"/>
          <w:szCs w:val="18"/>
        </w:rPr>
        <w:t>The Book of Why: The New Science of Cause and Effect</w:t>
      </w:r>
      <w:r>
        <w:rPr>
          <w:sz w:val="18"/>
          <w:szCs w:val="18"/>
        </w:rPr>
        <w:t xml:space="preserve"> (New York: Basic Books, 2018).</w:t>
      </w:r>
    </w:p>
  </w:footnote>
  <w:footnote w:id="16">
    <w:p w14:paraId="5F68DD31" w14:textId="77777777" w:rsidR="008605A2" w:rsidRDefault="006C00E3">
      <w:pPr>
        <w:spacing w:after="60"/>
      </w:pPr>
      <w:r>
        <w:rPr>
          <w:rStyle w:val="FootnoteReference"/>
        </w:rPr>
        <w:footnoteRef/>
      </w:r>
      <w:r>
        <w:rPr>
          <w:sz w:val="18"/>
          <w:szCs w:val="18"/>
        </w:rPr>
        <w:t xml:space="preserve">J. Eric T. Taylor and Graham W. Taylor, ‘Artificial Cognition: How Experimental Psychology Can Help Generate Explainable Artificial Intelligence’ (2021) 28(2) </w:t>
      </w:r>
      <w:r>
        <w:rPr>
          <w:i/>
          <w:iCs/>
          <w:sz w:val="18"/>
          <w:szCs w:val="18"/>
        </w:rPr>
        <w:t>Psychonomic Bulletin &amp; Review</w:t>
      </w:r>
      <w:r>
        <w:rPr>
          <w:sz w:val="18"/>
          <w:szCs w:val="18"/>
        </w:rPr>
        <w:t xml:space="preserve"> 454; George Siemens and others, ‘Human and Artificial Cognition’ (2022) 3 </w:t>
      </w:r>
      <w:r>
        <w:rPr>
          <w:i/>
          <w:iCs/>
          <w:sz w:val="18"/>
          <w:szCs w:val="18"/>
        </w:rPr>
        <w:t>Computers and Education: Artificial Intelligence</w:t>
      </w:r>
      <w:r>
        <w:rPr>
          <w:sz w:val="18"/>
          <w:szCs w:val="18"/>
        </w:rPr>
        <w:t xml:space="preserve"> 100107.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13E87" w14:textId="77777777" w:rsidR="008605A2" w:rsidRDefault="006C00E3">
    <w:pPr>
      <w:jc w:val="right"/>
    </w:pPr>
    <w:r>
      <w:rPr>
        <w:i/>
        <w:iCs/>
        <w:color w:val="595959"/>
        <w:sz w:val="18"/>
        <w:szCs w:val="18"/>
      </w:rPr>
      <w:t>Session 5 Reading · Artificial Cognition and Explainable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70EB"/>
    <w:multiLevelType w:val="hybridMultilevel"/>
    <w:tmpl w:val="6C28C308"/>
    <w:lvl w:ilvl="0" w:tplc="AF0CD23E">
      <w:start w:val="1"/>
      <w:numFmt w:val="bullet"/>
      <w:lvlText w:val="•"/>
      <w:lvlJc w:val="left"/>
      <w:pPr>
        <w:ind w:left="720" w:hanging="360"/>
      </w:pPr>
    </w:lvl>
    <w:lvl w:ilvl="1" w:tplc="1B1A3BC8">
      <w:numFmt w:val="decimal"/>
      <w:lvlText w:val=""/>
      <w:lvlJc w:val="left"/>
    </w:lvl>
    <w:lvl w:ilvl="2" w:tplc="BEF2DD5E">
      <w:numFmt w:val="decimal"/>
      <w:lvlText w:val=""/>
      <w:lvlJc w:val="left"/>
    </w:lvl>
    <w:lvl w:ilvl="3" w:tplc="FD8ECE20">
      <w:numFmt w:val="decimal"/>
      <w:lvlText w:val=""/>
      <w:lvlJc w:val="left"/>
    </w:lvl>
    <w:lvl w:ilvl="4" w:tplc="2FCC2464">
      <w:numFmt w:val="decimal"/>
      <w:lvlText w:val=""/>
      <w:lvlJc w:val="left"/>
    </w:lvl>
    <w:lvl w:ilvl="5" w:tplc="8570BCE6">
      <w:numFmt w:val="decimal"/>
      <w:lvlText w:val=""/>
      <w:lvlJc w:val="left"/>
    </w:lvl>
    <w:lvl w:ilvl="6" w:tplc="33AA5806">
      <w:numFmt w:val="decimal"/>
      <w:lvlText w:val=""/>
      <w:lvlJc w:val="left"/>
    </w:lvl>
    <w:lvl w:ilvl="7" w:tplc="559C97D8">
      <w:numFmt w:val="decimal"/>
      <w:lvlText w:val=""/>
      <w:lvlJc w:val="left"/>
    </w:lvl>
    <w:lvl w:ilvl="8" w:tplc="D88E3BE8">
      <w:numFmt w:val="decimal"/>
      <w:lvlText w:val=""/>
      <w:lvlJc w:val="left"/>
    </w:lvl>
  </w:abstractNum>
  <w:abstractNum w:abstractNumId="1" w15:restartNumberingAfterBreak="0">
    <w:nsid w:val="26F66943"/>
    <w:multiLevelType w:val="hybridMultilevel"/>
    <w:tmpl w:val="0B007DFE"/>
    <w:lvl w:ilvl="0" w:tplc="0C5A3D96">
      <w:start w:val="1"/>
      <w:numFmt w:val="decimal"/>
      <w:lvlText w:val="%1."/>
      <w:lvlJc w:val="left"/>
      <w:pPr>
        <w:ind w:left="720" w:hanging="360"/>
      </w:pPr>
    </w:lvl>
    <w:lvl w:ilvl="1" w:tplc="38B86312">
      <w:numFmt w:val="decimal"/>
      <w:lvlText w:val=""/>
      <w:lvlJc w:val="left"/>
    </w:lvl>
    <w:lvl w:ilvl="2" w:tplc="252C59E2">
      <w:numFmt w:val="decimal"/>
      <w:lvlText w:val=""/>
      <w:lvlJc w:val="left"/>
    </w:lvl>
    <w:lvl w:ilvl="3" w:tplc="AE6009E2">
      <w:numFmt w:val="decimal"/>
      <w:lvlText w:val=""/>
      <w:lvlJc w:val="left"/>
    </w:lvl>
    <w:lvl w:ilvl="4" w:tplc="72268574">
      <w:numFmt w:val="decimal"/>
      <w:lvlText w:val=""/>
      <w:lvlJc w:val="left"/>
    </w:lvl>
    <w:lvl w:ilvl="5" w:tplc="3DA43D42">
      <w:numFmt w:val="decimal"/>
      <w:lvlText w:val=""/>
      <w:lvlJc w:val="left"/>
    </w:lvl>
    <w:lvl w:ilvl="6" w:tplc="6A081228">
      <w:numFmt w:val="decimal"/>
      <w:lvlText w:val=""/>
      <w:lvlJc w:val="left"/>
    </w:lvl>
    <w:lvl w:ilvl="7" w:tplc="CBA29A86">
      <w:numFmt w:val="decimal"/>
      <w:lvlText w:val=""/>
      <w:lvlJc w:val="left"/>
    </w:lvl>
    <w:lvl w:ilvl="8" w:tplc="AA6A5538">
      <w:numFmt w:val="decimal"/>
      <w:lvlText w:val=""/>
      <w:lvlJc w:val="left"/>
    </w:lvl>
  </w:abstractNum>
  <w:abstractNum w:abstractNumId="2" w15:restartNumberingAfterBreak="0">
    <w:nsid w:val="4BB70123"/>
    <w:multiLevelType w:val="hybridMultilevel"/>
    <w:tmpl w:val="6F5ED156"/>
    <w:lvl w:ilvl="0" w:tplc="677C6200">
      <w:start w:val="1"/>
      <w:numFmt w:val="bullet"/>
      <w:lvlText w:val="●"/>
      <w:lvlJc w:val="left"/>
      <w:pPr>
        <w:ind w:left="720" w:hanging="360"/>
      </w:pPr>
    </w:lvl>
    <w:lvl w:ilvl="1" w:tplc="07C44E40">
      <w:start w:val="1"/>
      <w:numFmt w:val="bullet"/>
      <w:lvlText w:val="○"/>
      <w:lvlJc w:val="left"/>
      <w:pPr>
        <w:ind w:left="1440" w:hanging="360"/>
      </w:pPr>
    </w:lvl>
    <w:lvl w:ilvl="2" w:tplc="5BF076B4">
      <w:start w:val="1"/>
      <w:numFmt w:val="bullet"/>
      <w:lvlText w:val="■"/>
      <w:lvlJc w:val="left"/>
      <w:pPr>
        <w:ind w:left="2160" w:hanging="360"/>
      </w:pPr>
    </w:lvl>
    <w:lvl w:ilvl="3" w:tplc="36E45844">
      <w:start w:val="1"/>
      <w:numFmt w:val="bullet"/>
      <w:lvlText w:val="●"/>
      <w:lvlJc w:val="left"/>
      <w:pPr>
        <w:ind w:left="2880" w:hanging="360"/>
      </w:pPr>
    </w:lvl>
    <w:lvl w:ilvl="4" w:tplc="A612706C">
      <w:start w:val="1"/>
      <w:numFmt w:val="bullet"/>
      <w:lvlText w:val="○"/>
      <w:lvlJc w:val="left"/>
      <w:pPr>
        <w:ind w:left="3600" w:hanging="360"/>
      </w:pPr>
    </w:lvl>
    <w:lvl w:ilvl="5" w:tplc="5B0C5162">
      <w:start w:val="1"/>
      <w:numFmt w:val="bullet"/>
      <w:lvlText w:val="■"/>
      <w:lvlJc w:val="left"/>
      <w:pPr>
        <w:ind w:left="4320" w:hanging="360"/>
      </w:pPr>
    </w:lvl>
    <w:lvl w:ilvl="6" w:tplc="9EEE8444">
      <w:start w:val="1"/>
      <w:numFmt w:val="bullet"/>
      <w:lvlText w:val="●"/>
      <w:lvlJc w:val="left"/>
      <w:pPr>
        <w:ind w:left="5040" w:hanging="360"/>
      </w:pPr>
    </w:lvl>
    <w:lvl w:ilvl="7" w:tplc="BF908856">
      <w:start w:val="1"/>
      <w:numFmt w:val="bullet"/>
      <w:lvlText w:val="●"/>
      <w:lvlJc w:val="left"/>
      <w:pPr>
        <w:ind w:left="5760" w:hanging="360"/>
      </w:pPr>
    </w:lvl>
    <w:lvl w:ilvl="8" w:tplc="BD3EA6D0">
      <w:start w:val="1"/>
      <w:numFmt w:val="bullet"/>
      <w:lvlText w:val="●"/>
      <w:lvlJc w:val="left"/>
      <w:pPr>
        <w:ind w:left="6480" w:hanging="360"/>
      </w:pPr>
    </w:lvl>
  </w:abstractNum>
  <w:num w:numId="1" w16cid:durableId="2424980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5A2"/>
    <w:rsid w:val="00082831"/>
    <w:rsid w:val="006C00E3"/>
    <w:rsid w:val="008605A2"/>
    <w:rsid w:val="00A650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1D9A"/>
  <w15:docId w15:val="{ABD4CD37-F070-4131-B3FF-C7A2109E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864"/>
      <w:sz w:val="30"/>
      <w:szCs w:val="30"/>
    </w:rPr>
  </w:style>
  <w:style w:type="paragraph" w:styleId="Heading2">
    <w:name w:val="heading 2"/>
    <w:uiPriority w:val="9"/>
    <w:unhideWhenUsed/>
    <w:qFormat/>
    <w:pPr>
      <w:spacing w:before="240" w:after="140"/>
      <w:outlineLvl w:val="1"/>
    </w:pPr>
    <w:rPr>
      <w:b/>
      <w:bCs/>
      <w:color w:val="1F3864"/>
      <w:sz w:val="26"/>
      <w:szCs w:val="26"/>
    </w:rPr>
  </w:style>
  <w:style w:type="paragraph" w:styleId="Heading3">
    <w:name w:val="heading 3"/>
    <w:uiPriority w:val="9"/>
    <w:unhideWhenUsed/>
    <w:qFormat/>
    <w:pPr>
      <w:spacing w:before="200" w:after="120"/>
      <w:outlineLvl w:val="2"/>
    </w:pPr>
    <w:rPr>
      <w:b/>
      <w:bCs/>
      <w:i/>
      <w:iCs/>
      <w:color w:val="2E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B26B05198F3D48B88BEA1277B2DC12" ma:contentTypeVersion="3" ma:contentTypeDescription="Create a new document." ma:contentTypeScope="" ma:versionID="ce3acd17e63902ee587038a7f0c30aaf">
  <xsd:schema xmlns:xsd="http://www.w3.org/2001/XMLSchema" xmlns:xs="http://www.w3.org/2001/XMLSchema" xmlns:p="http://schemas.microsoft.com/office/2006/metadata/properties" xmlns:ns2="5d349878-cacb-4bb0-a51b-ea975e0bb00e" targetNamespace="http://schemas.microsoft.com/office/2006/metadata/properties" ma:root="true" ma:fieldsID="6eabf5968aae1c7e45605c0e250bc3c2" ns2:_="">
    <xsd:import namespace="5d349878-cacb-4bb0-a51b-ea975e0bb0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49878-cacb-4bb0-a51b-ea975e0bb0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8BCF32-0CD6-46D1-9F1C-C8A01A40E62F}"/>
</file>

<file path=customXml/itemProps2.xml><?xml version="1.0" encoding="utf-8"?>
<ds:datastoreItem xmlns:ds="http://schemas.openxmlformats.org/officeDocument/2006/customXml" ds:itemID="{97D80254-F381-45E9-B83E-1FE8374A24D7}"/>
</file>

<file path=customXml/itemProps3.xml><?xml version="1.0" encoding="utf-8"?>
<ds:datastoreItem xmlns:ds="http://schemas.openxmlformats.org/officeDocument/2006/customXml" ds:itemID="{C891223A-4D7F-465C-B6BE-4940B04394E8}"/>
</file>

<file path=docProps/app.xml><?xml version="1.0" encoding="utf-8"?>
<Properties xmlns="http://schemas.openxmlformats.org/officeDocument/2006/extended-properties" xmlns:vt="http://schemas.openxmlformats.org/officeDocument/2006/docPropsVTypes">
  <Template>Normal</Template>
  <TotalTime>3</TotalTime>
  <Pages>13</Pages>
  <Words>4470</Words>
  <Characters>26155</Characters>
  <Application>Microsoft Office Word</Application>
  <DocSecurity>0</DocSecurity>
  <Lines>443</Lines>
  <Paragraphs>130</Paragraphs>
  <ScaleCrop>false</ScaleCrop>
  <Company/>
  <LinksUpToDate>false</LinksUpToDate>
  <CharactersWithSpaces>30495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Governing the Glass Box — Ethics, Bias, and the Institutional Architecture of Responsible AI</dc:title>
  <dc:creator>Fernando Marmolejo-Ramos</dc:creator>
  <cp:lastModifiedBy>Fernando Marmolejo Ramos</cp:lastModifiedBy>
  <cp:revision>2</cp:revision>
  <dcterms:created xsi:type="dcterms:W3CDTF">2026-06-11T07:29:00Z</dcterms:created>
  <dcterms:modified xsi:type="dcterms:W3CDTF">2026-06-22T05:19:00Z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0x010100A6B26B05198F3D48B88BEA1277B2DC12</vt:lpwstr>
  </property>
</Properties>
</file>