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E5F537" w14:textId="77777777" w:rsidR="009E139C" w:rsidRDefault="003D45ED">
      <w:pPr>
        <w:spacing w:after="200"/>
        <w:jc w:val="center"/>
      </w:pPr>
      <w:r>
        <w:rPr>
          <w:b/>
          <w:bCs/>
          <w:color w:val="1F3864"/>
          <w:sz w:val="32"/>
          <w:szCs w:val="32"/>
        </w:rPr>
        <w:t>From Black Boxes to Glass Boxes: An Accessible Introduction to Artificial Intelligence and Artificial Cognition</w:t>
      </w:r>
    </w:p>
    <w:p w14:paraId="32FD0125" w14:textId="77777777" w:rsidR="009E139C" w:rsidRDefault="003D45ED">
      <w:pPr>
        <w:spacing w:after="320"/>
        <w:jc w:val="center"/>
      </w:pPr>
      <w:r>
        <w:rPr>
          <w:i/>
          <w:iCs/>
          <w:color w:val="595959"/>
        </w:rPr>
        <w:t>Session 1 Reading — Artificial Cognition and Explainable AI (5-Day Intensive)</w:t>
      </w:r>
    </w:p>
    <w:p w14:paraId="2F21AAD4" w14:textId="77777777" w:rsidR="009E139C" w:rsidRDefault="003D45ED">
      <w:pPr>
        <w:spacing w:before="80" w:after="200"/>
        <w:jc w:val="center"/>
      </w:pPr>
      <w:r>
        <w:rPr>
          <w:color w:val="BFBFBF"/>
          <w:sz w:val="18"/>
          <w:szCs w:val="18"/>
        </w:rPr>
        <w:t>————————————————————————————————————————</w:t>
      </w:r>
    </w:p>
    <w:p w14:paraId="39A35E4F" w14:textId="77777777" w:rsidR="009E139C" w:rsidRDefault="003D45ED">
      <w:pPr>
        <w:pStyle w:val="Heading1"/>
        <w:spacing w:before="280" w:after="160"/>
      </w:pPr>
      <w:r>
        <w:t>Abstract</w:t>
      </w:r>
    </w:p>
    <w:p w14:paraId="4B65C7A1" w14:textId="77777777" w:rsidR="009E139C" w:rsidRDefault="003D45ED">
      <w:pPr>
        <w:spacing w:after="160" w:line="300" w:lineRule="auto"/>
        <w:jc w:val="both"/>
      </w:pPr>
      <w:r>
        <w:t>This reading introduces non-technical professionals to the fundamental concepts of artificial intelligence (AI), machine learning (ML), and artificial cognition, and explains why the inner workings of modern AI systems have become difficult to inspect — the so-called “black box” problem. Using everyday analogies (learning to identify birds, an office building with different floor plans, an algorithm as an “opinion in code”), the chapter walks through the machine-learning pipeline, the symbolic, connectionis</w:t>
      </w:r>
      <w:r>
        <w:t>t, and hybrid traditions of AI, and the major cognitive architectures (ACT-R, SOAR, CLARION) that attempt to model human thought. It then contrasts human cognition with artificial cognition across six dimensions — learning efficiency, transfer, energy use, catastrophic forgetting, motivation, and embodiment — and shows why these differences matter for explainability. The reading closes with a stakeholder-centred framing of explainable AI (XAI), arguing that compliance officers, clinicians, journalists, HR l</w:t>
      </w:r>
      <w:r>
        <w:t>eaders, and policymakers each require different kinds of explanation, and that understanding artificial cognition is a prerequisite for asking the right questions of any AI system that affects human lives. Citations follow the Oxford documentary-note style.</w:t>
      </w:r>
    </w:p>
    <w:p w14:paraId="1AA8378B" w14:textId="77777777" w:rsidR="009E139C" w:rsidRDefault="003D45ED">
      <w:pPr>
        <w:spacing w:after="160" w:line="300" w:lineRule="auto"/>
        <w:jc w:val="both"/>
      </w:pPr>
      <w:r>
        <w:rPr>
          <w:b/>
          <w:bCs/>
        </w:rPr>
        <w:t xml:space="preserve">Keywords: </w:t>
      </w:r>
      <w:r>
        <w:t>artificial intelligence; artificial cognition; cognitive architectures; explainable AI (XAI); algorithmic accountability</w:t>
      </w:r>
    </w:p>
    <w:p w14:paraId="426790FC" w14:textId="77777777" w:rsidR="009E139C" w:rsidRDefault="003D45ED">
      <w:pPr>
        <w:spacing w:before="80" w:after="200"/>
        <w:jc w:val="center"/>
      </w:pPr>
      <w:r>
        <w:rPr>
          <w:color w:val="BFBFBF"/>
          <w:sz w:val="18"/>
          <w:szCs w:val="18"/>
        </w:rPr>
        <w:t>————————————————————————————————————————</w:t>
      </w:r>
    </w:p>
    <w:p w14:paraId="1A31E3F3" w14:textId="77777777" w:rsidR="009E139C" w:rsidRDefault="003D45ED">
      <w:pPr>
        <w:pStyle w:val="Heading1"/>
        <w:spacing w:before="280" w:after="160"/>
      </w:pPr>
      <w:r>
        <w:t>1. Why this reading exists</w:t>
      </w:r>
    </w:p>
    <w:p w14:paraId="070290EF" w14:textId="77777777" w:rsidR="009E139C" w:rsidRDefault="003D45ED">
      <w:pPr>
        <w:spacing w:after="160" w:line="300" w:lineRule="auto"/>
        <w:jc w:val="both"/>
      </w:pPr>
      <w:r>
        <w:t>If you are a compliance officer reviewing a vendor’s “AI-powered” credit-scoring tool, a hospital administrator asked to approve a triage algorithm, a journalist covering a sentencing-risk score, or a public servant drafting AI procurement rules, you do not need to write code. You do, however, need to understand what these systems actually are, what they can and cannot do, why they sometimes fail in surprising ways, and how to ask sharp questions of the engineers who build them. This is the agenda of the en</w:t>
      </w:r>
      <w:r>
        <w:t>tire course; this first reading provides the conceptual scaffolding.</w:t>
      </w:r>
    </w:p>
    <w:p w14:paraId="087EE862" w14:textId="77777777" w:rsidR="009E139C" w:rsidRDefault="003D45ED">
      <w:pPr>
        <w:spacing w:after="160" w:line="300" w:lineRule="auto"/>
        <w:jc w:val="both"/>
      </w:pPr>
      <w:r>
        <w:t>Three claims will recur:</w:t>
      </w:r>
    </w:p>
    <w:p w14:paraId="07A5BCFD" w14:textId="77777777" w:rsidR="009E139C" w:rsidRDefault="003D45ED">
      <w:pPr>
        <w:pStyle w:val="ListParagraph"/>
        <w:numPr>
          <w:ilvl w:val="0"/>
          <w:numId w:val="2"/>
        </w:numPr>
        <w:spacing w:after="120" w:line="300" w:lineRule="auto"/>
      </w:pPr>
      <w:r>
        <w:rPr>
          <w:b/>
          <w:bCs/>
        </w:rPr>
        <w:t xml:space="preserve">AI is not magic. </w:t>
      </w:r>
      <w:r>
        <w:t>It is a family of statistical and rule-based techniques whose behaviour follows from data and design choices made by people.</w:t>
      </w:r>
    </w:p>
    <w:p w14:paraId="7C4FF106" w14:textId="77777777" w:rsidR="009E139C" w:rsidRDefault="003D45ED">
      <w:pPr>
        <w:pStyle w:val="ListParagraph"/>
        <w:numPr>
          <w:ilvl w:val="0"/>
          <w:numId w:val="2"/>
        </w:numPr>
        <w:spacing w:after="120" w:line="300" w:lineRule="auto"/>
      </w:pPr>
      <w:r>
        <w:rPr>
          <w:b/>
          <w:bCs/>
        </w:rPr>
        <w:t xml:space="preserve">Modern AI systems are often opaque even to their creators. </w:t>
      </w:r>
      <w:r>
        <w:t>This opacity has technical roots, but its consequences are social, legal, and ethical.</w:t>
      </w:r>
    </w:p>
    <w:p w14:paraId="21DE7F73" w14:textId="77777777" w:rsidR="009E139C" w:rsidRDefault="003D45ED">
      <w:pPr>
        <w:pStyle w:val="ListParagraph"/>
        <w:numPr>
          <w:ilvl w:val="0"/>
          <w:numId w:val="2"/>
        </w:numPr>
        <w:spacing w:after="200" w:line="300" w:lineRule="auto"/>
      </w:pPr>
      <w:r>
        <w:rPr>
          <w:b/>
          <w:bCs/>
        </w:rPr>
        <w:lastRenderedPageBreak/>
        <w:t xml:space="preserve">You cannot evaluate an AI system responsibly without some model of how it “thinks” </w:t>
      </w:r>
      <w:r>
        <w:t>— which is why we will spend time on artificial cognition before turning to explainability proper.</w:t>
      </w:r>
    </w:p>
    <w:p w14:paraId="6FCC1373" w14:textId="77777777" w:rsidR="009E139C" w:rsidRDefault="003D45ED">
      <w:pPr>
        <w:pStyle w:val="Heading1"/>
        <w:spacing w:before="280" w:after="160"/>
      </w:pPr>
      <w:r>
        <w:t>2. What is artificial intelligence? Concepts and terminology</w:t>
      </w:r>
    </w:p>
    <w:p w14:paraId="03131738" w14:textId="77777777" w:rsidR="009E139C" w:rsidRDefault="003D45ED">
      <w:pPr>
        <w:pStyle w:val="Heading2"/>
        <w:spacing w:before="280" w:after="160"/>
      </w:pPr>
      <w:r>
        <w:t>2.1 Three nested ideas: AI, machine learning, deep learning</w:t>
      </w:r>
    </w:p>
    <w:p w14:paraId="0E6E7D50" w14:textId="77777777" w:rsidR="009E139C" w:rsidRDefault="003D45ED">
      <w:pPr>
        <w:spacing w:after="160" w:line="300" w:lineRule="auto"/>
        <w:jc w:val="both"/>
      </w:pPr>
      <w:r>
        <w:t xml:space="preserve">The single most useful picture for a non-technical reader is the </w:t>
      </w:r>
      <w:r>
        <w:rPr>
          <w:b/>
          <w:bCs/>
        </w:rPr>
        <w:t>nested-circles</w:t>
      </w:r>
      <w:r>
        <w:t xml:space="preserve"> diagram (Figure 1). The outer circle is </w:t>
      </w:r>
      <w:r>
        <w:rPr>
          <w:b/>
          <w:bCs/>
        </w:rPr>
        <w:t>artificial intelligence</w:t>
      </w:r>
      <w:r>
        <w:t xml:space="preserve">, a broad and somewhat fuzzy label for any computer system that performs tasks we would normally call “intelligent” — playing chess, recognising faces, translating languages, scheduling deliveries. Inside that circle sits </w:t>
      </w:r>
      <w:r>
        <w:rPr>
          <w:b/>
          <w:bCs/>
        </w:rPr>
        <w:t>machine learning (ML)</w:t>
      </w:r>
      <w:r>
        <w:t xml:space="preserve">, a particular approach in which the computer is </w:t>
      </w:r>
      <w:r>
        <w:rPr>
          <w:i/>
          <w:iCs/>
        </w:rPr>
        <w:t>not</w:t>
      </w:r>
      <w:r>
        <w:t xml:space="preserve"> given explicit rules but instead is shown many examples and learns the patterns itself. Inside the ML circle sits </w:t>
      </w:r>
      <w:r>
        <w:rPr>
          <w:b/>
          <w:bCs/>
        </w:rPr>
        <w:t>deep learning</w:t>
      </w:r>
      <w:r>
        <w:t>, a specific family of machine-learning techniques that uses very large “artificial neural networks” — mathematical structures loosely inspired by the brain — arranged in many layers.</w:t>
      </w:r>
      <w:r>
        <w:rPr>
          <w:rStyle w:val="FootnoteReference"/>
        </w:rPr>
        <w:footnoteReference w:id="1"/>
      </w:r>
    </w:p>
    <w:p w14:paraId="3FCA21DC" w14:textId="77777777" w:rsidR="009E139C" w:rsidRDefault="003D45ED">
      <w:pPr>
        <w:spacing w:after="160" w:line="300" w:lineRule="auto"/>
        <w:jc w:val="both"/>
      </w:pPr>
      <w:r>
        <w:t xml:space="preserve">LeCun, Bengio and Hinton, in their landmark 2015 </w:t>
      </w:r>
      <w:r>
        <w:rPr>
          <w:i/>
          <w:iCs/>
        </w:rPr>
        <w:t>Nature</w:t>
      </w:r>
      <w:r>
        <w:t xml:space="preserve"> review, define deep learning as a method that “allows computational models that are composed of multiple processing layers to learn representations of data with multiple levels of abstraction”.</w:t>
      </w:r>
      <w:r>
        <w:rPr>
          <w:rStyle w:val="FootnoteReference"/>
        </w:rPr>
        <w:footnoteReference w:id="2"/>
      </w:r>
      <w:r>
        <w:t xml:space="preserve"> The italicised word “representations” matters: deep learning systems do not just classify; they </w:t>
      </w:r>
      <w:r>
        <w:rPr>
          <w:i/>
          <w:iCs/>
        </w:rPr>
        <w:t>invent their own internal vocabulary</w:t>
      </w:r>
      <w:r>
        <w:t xml:space="preserve"> for describing the data, and that invented vocabulary is one of the reasons their decisions are hard to explain afterwards.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E139C" w14:paraId="344DDE63" w14:textId="77777777">
        <w:tblPrEx>
          <w:tblCellMar>
            <w:top w:w="0" w:type="dxa"/>
            <w:bottom w:w="0" w:type="dxa"/>
          </w:tblCellMar>
        </w:tblPrEx>
        <w:tc>
          <w:tcPr>
            <w:tcW w:w="9360" w:type="dxa"/>
            <w:tcBorders>
              <w:top w:val="single" w:sz="4" w:space="0" w:color="BFBFBF"/>
              <w:left w:val="single" w:sz="4" w:space="0" w:color="BFBFBF"/>
              <w:bottom w:val="single" w:sz="4" w:space="0" w:color="BFBFBF"/>
              <w:right w:val="single" w:sz="4" w:space="0" w:color="BFBFBF"/>
            </w:tcBorders>
            <w:shd w:val="clear" w:color="auto" w:fill="F2F2F2"/>
            <w:tcMar>
              <w:top w:w="160" w:type="dxa"/>
              <w:left w:w="200" w:type="dxa"/>
              <w:bottom w:w="160" w:type="dxa"/>
              <w:right w:w="200" w:type="dxa"/>
            </w:tcMar>
          </w:tcPr>
          <w:p w14:paraId="531EF291" w14:textId="3CEE50F1" w:rsidR="003D45ED" w:rsidRDefault="003D45ED">
            <w:pPr>
              <w:spacing w:line="280" w:lineRule="auto"/>
              <w:rPr>
                <w:i/>
                <w:iCs/>
                <w:sz w:val="20"/>
                <w:szCs w:val="20"/>
              </w:rPr>
            </w:pPr>
            <w:r w:rsidRPr="003D45ED">
              <w:rPr>
                <w:i/>
                <w:iCs/>
                <w:sz w:val="20"/>
                <w:szCs w:val="20"/>
                <w:highlight w:val="yellow"/>
              </w:rPr>
              <w:t>= to be done by attendees =</w:t>
            </w:r>
          </w:p>
          <w:p w14:paraId="4881BD74" w14:textId="02F38416" w:rsidR="009E139C" w:rsidRDefault="003D45ED">
            <w:pPr>
              <w:spacing w:line="280" w:lineRule="auto"/>
            </w:pPr>
            <w:r>
              <w:rPr>
                <w:i/>
                <w:iCs/>
                <w:sz w:val="20"/>
                <w:szCs w:val="20"/>
              </w:rPr>
              <w:t>Figure 1. Nested-circles diagram of AI ⊃ Machine Learning ⊃ Deep Learning. Three concentric circles. The outermost, labelled “Artificial Intelligence”, contains rule-based expert systems, search algorithms, and symbolic logic programs from the 1950s–80s. The middle circle, “Machine Learning”, contains decision trees, linear regression, support vector machines, and random forests — methods that learn from data. The innermost circle, “Deep Learning”, contains convolutional neural networks (image recognition),</w:t>
            </w:r>
            <w:r>
              <w:rPr>
                <w:i/>
                <w:iCs/>
                <w:sz w:val="20"/>
                <w:szCs w:val="20"/>
              </w:rPr>
              <w:t xml:space="preserve"> recurrent and transformer networks (language), and the large language models behind systems such as ChatGPT. The figure communicates that all deep learning is machine learning, and all machine learning is AI, but not vice versa.</w:t>
            </w:r>
          </w:p>
        </w:tc>
      </w:tr>
    </w:tbl>
    <w:p w14:paraId="2A594E3D" w14:textId="77777777" w:rsidR="009E139C" w:rsidRDefault="003D45ED">
      <w:pPr>
        <w:pStyle w:val="Heading2"/>
        <w:spacing w:before="280" w:after="160"/>
      </w:pPr>
      <w:r>
        <w:t>2.2 The “Algorithms as Opinions” framing</w:t>
      </w:r>
    </w:p>
    <w:p w14:paraId="3F1B3E92" w14:textId="77777777" w:rsidR="009E139C" w:rsidRDefault="003D45ED">
      <w:pPr>
        <w:spacing w:after="160" w:line="300" w:lineRule="auto"/>
        <w:jc w:val="both"/>
      </w:pPr>
      <w:r>
        <w:t xml:space="preserve">It is tempting — and politically convenient — to talk about algorithms as if they were objective. The mathematician and former hedge-fund quantitative analyst Cathy O’Neil punctures that </w:t>
      </w:r>
      <w:r>
        <w:lastRenderedPageBreak/>
        <w:t xml:space="preserve">illusion in a single line: </w:t>
      </w:r>
      <w:r>
        <w:rPr>
          <w:b/>
          <w:bCs/>
        </w:rPr>
        <w:t>“Algorithms are opinions embedded in code.”</w:t>
      </w:r>
      <w:r>
        <w:rPr>
          <w:rStyle w:val="FootnoteReference"/>
        </w:rPr>
        <w:footnoteReference w:id="3"/>
      </w:r>
      <w:r>
        <w:t xml:space="preserve"> Every machine-learning system reflects choices: which data to collect, which outcomes to optimise, which errors to tolerate, which groups to include. Those choices are made by humans and inherited by the model.</w:t>
      </w:r>
    </w:p>
    <w:p w14:paraId="133C3AA9" w14:textId="77777777" w:rsidR="009E139C" w:rsidRDefault="003D45ED">
      <w:pPr>
        <w:spacing w:after="160" w:line="300" w:lineRule="auto"/>
        <w:jc w:val="both"/>
      </w:pPr>
      <w:r>
        <w:t>The Amazon recruiting tool is the canonical illustration. Between 2014 and 2017, Amazon engineers built an experimental model intended to score résumés on a one-to-five-star scale. As Reuters journalist Jeffrey Dastin first reported, the system was trained on a decade of past résumés submitted to the company — résumés that, because the technology industry has historically been male-dominated, came mostly from men. The model duly learned that “male-sounding” résumés were preferred. It “penalized resumes that</w:t>
      </w:r>
      <w:r>
        <w:t xml:space="preserve"> included the word ‘women’s,’ as in ‘women’s chess club captain,’” and it downgraded graduates of two all-women’s colleges.</w:t>
      </w:r>
      <w:r>
        <w:rPr>
          <w:rStyle w:val="FootnoteReference"/>
        </w:rPr>
        <w:footnoteReference w:id="4"/>
      </w:r>
      <w:r>
        <w:t xml:space="preserve"> Amazon edited out those particular terms but could not guarantee that the system would not invent new proxies for gender, and it disbanded the project. The lesson is not that Amazon’s engineers were malicious; it is that an algorithm trained on biased history will faithfully reproduce that bias, with the added authority of mathematical objectivity.</w:t>
      </w:r>
    </w:p>
    <w:p w14:paraId="08A33426" w14:textId="77777777" w:rsidR="009E139C" w:rsidRDefault="003D45ED">
      <w:pPr>
        <w:pStyle w:val="Heading1"/>
        <w:spacing w:before="280" w:after="160"/>
      </w:pPr>
      <w:r>
        <w:t>3. The machine-learning pipeline: learning to identify birds</w:t>
      </w:r>
    </w:p>
    <w:p w14:paraId="7814459B" w14:textId="77777777" w:rsidR="009E139C" w:rsidRDefault="003D45ED">
      <w:pPr>
        <w:spacing w:after="160" w:line="300" w:lineRule="auto"/>
        <w:jc w:val="both"/>
      </w:pPr>
      <w:r>
        <w:t>To demystify how a machine-learning system is actually built, imagine teaching a child to identify birds.</w:t>
      </w:r>
    </w:p>
    <w:p w14:paraId="3CBF472A" w14:textId="77777777" w:rsidR="009E139C" w:rsidRDefault="003D45ED">
      <w:pPr>
        <w:pStyle w:val="ListParagraph"/>
        <w:numPr>
          <w:ilvl w:val="0"/>
          <w:numId w:val="2"/>
        </w:numPr>
        <w:spacing w:after="120" w:line="300" w:lineRule="auto"/>
      </w:pPr>
      <w:r>
        <w:rPr>
          <w:b/>
          <w:bCs/>
        </w:rPr>
        <w:t>Data collection.</w:t>
      </w:r>
      <w:r>
        <w:t xml:space="preserve"> You gather a large pile of photographs and write the bird’s name on the back of each one: “robin”, “sparrow”, “pigeon”.</w:t>
      </w:r>
    </w:p>
    <w:p w14:paraId="1119F9D7" w14:textId="77777777" w:rsidR="009E139C" w:rsidRDefault="003D45ED">
      <w:pPr>
        <w:pStyle w:val="ListParagraph"/>
        <w:numPr>
          <w:ilvl w:val="0"/>
          <w:numId w:val="2"/>
        </w:numPr>
        <w:spacing w:after="120" w:line="300" w:lineRule="auto"/>
      </w:pPr>
      <w:r>
        <w:rPr>
          <w:b/>
          <w:bCs/>
        </w:rPr>
        <w:t>Preprocessing.</w:t>
      </w:r>
      <w:r>
        <w:t xml:space="preserve"> You discard blurry photos, crop out distracting backgrounds, and make sure each species is well represented.</w:t>
      </w:r>
    </w:p>
    <w:p w14:paraId="2C926FF1" w14:textId="77777777" w:rsidR="009E139C" w:rsidRDefault="003D45ED">
      <w:pPr>
        <w:pStyle w:val="ListParagraph"/>
        <w:numPr>
          <w:ilvl w:val="0"/>
          <w:numId w:val="2"/>
        </w:numPr>
        <w:spacing w:after="120" w:line="300" w:lineRule="auto"/>
      </w:pPr>
      <w:r>
        <w:rPr>
          <w:b/>
          <w:bCs/>
        </w:rPr>
        <w:t>Training.</w:t>
      </w:r>
      <w:r>
        <w:t xml:space="preserve"> You show the child the photos one at a time, ask “what is this?”, correct the wrong answers, and repeat thousands of times. Internally, the child gradually picks up cues — beak shape, colour, size — though they may not be able to articulate which cues matter most.</w:t>
      </w:r>
    </w:p>
    <w:p w14:paraId="08DD4B4B" w14:textId="77777777" w:rsidR="009E139C" w:rsidRDefault="003D45ED">
      <w:pPr>
        <w:pStyle w:val="ListParagraph"/>
        <w:numPr>
          <w:ilvl w:val="0"/>
          <w:numId w:val="2"/>
        </w:numPr>
        <w:spacing w:after="120" w:line="300" w:lineRule="auto"/>
      </w:pPr>
      <w:r>
        <w:rPr>
          <w:b/>
          <w:bCs/>
        </w:rPr>
        <w:t>Testing / validation.</w:t>
      </w:r>
      <w:r>
        <w:t xml:space="preserve"> You set aside a separate stack of photos the child has never seen and ask them to label those. This tells you how well the learning will </w:t>
      </w:r>
      <w:r>
        <w:rPr>
          <w:i/>
          <w:iCs/>
        </w:rPr>
        <w:t>generalise</w:t>
      </w:r>
      <w:r>
        <w:t>.</w:t>
      </w:r>
    </w:p>
    <w:p w14:paraId="2C9E2E73" w14:textId="77777777" w:rsidR="009E139C" w:rsidRDefault="003D45ED">
      <w:pPr>
        <w:pStyle w:val="ListParagraph"/>
        <w:numPr>
          <w:ilvl w:val="0"/>
          <w:numId w:val="2"/>
        </w:numPr>
        <w:spacing w:after="120" w:line="300" w:lineRule="auto"/>
      </w:pPr>
      <w:r>
        <w:rPr>
          <w:b/>
          <w:bCs/>
        </w:rPr>
        <w:t>Deployment.</w:t>
      </w:r>
      <w:r>
        <w:t xml:space="preserve"> You take the child to the park and let them name the birds they see in the wild.</w:t>
      </w:r>
    </w:p>
    <w:p w14:paraId="4B68C014" w14:textId="77777777" w:rsidR="009E139C" w:rsidRDefault="003D45ED">
      <w:pPr>
        <w:pStyle w:val="ListParagraph"/>
        <w:numPr>
          <w:ilvl w:val="0"/>
          <w:numId w:val="2"/>
        </w:numPr>
        <w:spacing w:after="120" w:line="300" w:lineRule="auto"/>
      </w:pPr>
      <w:r>
        <w:rPr>
          <w:b/>
          <w:bCs/>
        </w:rPr>
        <w:t>Monitoring.</w:t>
      </w:r>
      <w:r>
        <w:t xml:space="preserve"> You check that the child still performs well over time, retraining if, say, the family moves to a new continent with unfamiliar species.</w:t>
      </w:r>
    </w:p>
    <w:p w14:paraId="0C9D91FD" w14:textId="0CB0411F" w:rsidR="009E139C" w:rsidRDefault="003D45ED">
      <w:pPr>
        <w:spacing w:after="160" w:line="300" w:lineRule="auto"/>
        <w:jc w:val="both"/>
      </w:pPr>
      <w:r>
        <w:t>The same six steps appear in every industrial ML system, from spam filters to radiology AI</w:t>
      </w:r>
      <w:r>
        <w:t xml:space="preserve">. Each step is a place where things can go wrong. If the training photos are all of male birds, the system will misclassify females. If “robin” photos always have green grass in the background, the system may learn to identify </w:t>
      </w:r>
      <w:r>
        <w:rPr>
          <w:i/>
          <w:iCs/>
        </w:rPr>
        <w:t>grass</w:t>
      </w:r>
      <w:r>
        <w:t>, not birds.</w:t>
      </w:r>
      <w:r>
        <w:rPr>
          <w:rStyle w:val="FootnoteReference"/>
        </w:rPr>
        <w:footnoteReference w:id="5"/>
      </w:r>
      <w:r>
        <w:t xml:space="preserve"> If deployment conditions drift away from training conditions — a phenomenon engineers call </w:t>
      </w:r>
      <w:r>
        <w:rPr>
          <w:i/>
          <w:iCs/>
        </w:rPr>
        <w:t>distribution shift</w:t>
      </w:r>
      <w:r>
        <w:t xml:space="preserve"> — accuracy can collapse silently.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E139C" w14:paraId="6D9E6675" w14:textId="77777777">
        <w:tblPrEx>
          <w:tblCellMar>
            <w:top w:w="0" w:type="dxa"/>
            <w:bottom w:w="0" w:type="dxa"/>
          </w:tblCellMar>
        </w:tblPrEx>
        <w:tc>
          <w:tcPr>
            <w:tcW w:w="9360" w:type="dxa"/>
            <w:tcBorders>
              <w:top w:val="single" w:sz="4" w:space="0" w:color="BFBFBF"/>
              <w:left w:val="single" w:sz="4" w:space="0" w:color="BFBFBF"/>
              <w:bottom w:val="single" w:sz="4" w:space="0" w:color="BFBFBF"/>
              <w:right w:val="single" w:sz="4" w:space="0" w:color="BFBFBF"/>
            </w:tcBorders>
            <w:shd w:val="clear" w:color="auto" w:fill="F2F2F2"/>
            <w:tcMar>
              <w:top w:w="160" w:type="dxa"/>
              <w:left w:w="200" w:type="dxa"/>
              <w:bottom w:w="160" w:type="dxa"/>
              <w:right w:w="200" w:type="dxa"/>
            </w:tcMar>
          </w:tcPr>
          <w:p w14:paraId="39E4AEBB" w14:textId="77777777" w:rsidR="003D45ED" w:rsidRDefault="003D45ED" w:rsidP="003D45ED">
            <w:pPr>
              <w:spacing w:line="280" w:lineRule="auto"/>
              <w:rPr>
                <w:i/>
                <w:iCs/>
                <w:sz w:val="20"/>
                <w:szCs w:val="20"/>
              </w:rPr>
            </w:pPr>
            <w:r w:rsidRPr="003D45ED">
              <w:rPr>
                <w:i/>
                <w:iCs/>
                <w:sz w:val="20"/>
                <w:szCs w:val="20"/>
                <w:highlight w:val="yellow"/>
              </w:rPr>
              <w:t>= to be done by attendees =</w:t>
            </w:r>
          </w:p>
          <w:p w14:paraId="13F65EC5" w14:textId="38A27A2A" w:rsidR="009E139C" w:rsidRDefault="003D45ED">
            <w:pPr>
              <w:spacing w:line="280" w:lineRule="auto"/>
            </w:pPr>
            <w:r>
              <w:rPr>
                <w:i/>
                <w:iCs/>
                <w:sz w:val="20"/>
                <w:szCs w:val="20"/>
              </w:rPr>
              <w:t xml:space="preserve">Figure 2. Flowchart of the machine-learning pipeline. Six labelled boxes connected by arrows: Data Collection → Preprocessing → Training → Testing/Validation → Deployment → Monitoring. A dashed feedback arrow returns from Monitoring to Data Collection, indicating that real systems are iterative. Side annotations highlight typical failure modes at each stage: sampling bias and label noise (Data); leakage and feature engineering choices (Preprocessing); overfitting and hyper-parameter sensitivity (Training); </w:t>
            </w:r>
            <w:r>
              <w:rPr>
                <w:i/>
                <w:iCs/>
                <w:sz w:val="20"/>
                <w:szCs w:val="20"/>
              </w:rPr>
              <w:t>benchmark gaming (Testing); distribution shift and adversarial input (Deployment); concept drift and feedback loops (Monitoring).</w:t>
            </w:r>
          </w:p>
        </w:tc>
      </w:tr>
    </w:tbl>
    <w:p w14:paraId="70CD8DDD" w14:textId="77777777" w:rsidR="009E139C" w:rsidRDefault="003D45ED">
      <w:pPr>
        <w:pStyle w:val="Heading1"/>
        <w:spacing w:before="280" w:after="160"/>
      </w:pPr>
      <w:r>
        <w:t>4. The black-box problem</w:t>
      </w:r>
    </w:p>
    <w:p w14:paraId="18C83EC4" w14:textId="77777777" w:rsidR="009E139C" w:rsidRDefault="003D45ED">
      <w:pPr>
        <w:spacing w:after="160" w:line="300" w:lineRule="auto"/>
        <w:jc w:val="both"/>
      </w:pPr>
      <w:r>
        <w:t xml:space="preserve">A traditional computer program is, in principle, transparent: a person can read the code line by line and explain what each instruction does. A trained deep neural network is different. It consists of millions, sometimes billions, of numerical weights spread across many layers; the “knowledge” of the system is distributed across those weights, not stored as readable rules. Even the engineers who built and trained the system often cannot say </w:t>
      </w:r>
      <w:r>
        <w:rPr>
          <w:i/>
          <w:iCs/>
        </w:rPr>
        <w:t>why</w:t>
      </w:r>
      <w:r>
        <w:t xml:space="preserve"> a particular input produced a particular output.</w:t>
      </w:r>
      <w:r>
        <w:rPr>
          <w:rStyle w:val="FootnoteReference"/>
        </w:rPr>
        <w:footnoteReference w:id="6"/>
      </w:r>
    </w:p>
    <w:p w14:paraId="551C92D5" w14:textId="77777777" w:rsidR="009E139C" w:rsidRDefault="003D45ED">
      <w:pPr>
        <w:spacing w:after="160" w:line="300" w:lineRule="auto"/>
        <w:jc w:val="both"/>
      </w:pPr>
      <w:r>
        <w:t xml:space="preserve">The computer scientist Cynthia Rudin argues forcefully that this opacity is not an inevitable feature of high-performing AI but a choice — and a dangerous one in high-stakes settings. “Trying to </w:t>
      </w:r>
      <w:r>
        <w:rPr>
          <w:i/>
          <w:iCs/>
        </w:rPr>
        <w:t>explain</w:t>
      </w:r>
      <w:r>
        <w:t xml:space="preserve"> black box models, rather than creating models that are </w:t>
      </w:r>
      <w:r>
        <w:rPr>
          <w:i/>
          <w:iCs/>
        </w:rPr>
        <w:t>interpretable</w:t>
      </w:r>
      <w:r>
        <w:t xml:space="preserve"> in the first place, is likely to perpetuate bad practices and can potentially cause catastrophic harm to society,” she writes.</w:t>
      </w:r>
      <w:r>
        <w:rPr>
          <w:rStyle w:val="FootnoteReference"/>
        </w:rPr>
        <w:footnoteReference w:id="7"/>
      </w:r>
      <w:r>
        <w:t xml:space="preserve"> Her position is contested: many practitioners believe that the predictive gains of large opaque models justify post-hoc explanation methods. But Rudin’s challenge frames the central tension of this course.</w:t>
      </w:r>
    </w:p>
    <w:p w14:paraId="4439E6F8" w14:textId="77777777" w:rsidR="009E139C" w:rsidRDefault="003D45ED">
      <w:pPr>
        <w:spacing w:after="160" w:line="300" w:lineRule="auto"/>
        <w:jc w:val="both"/>
      </w:pPr>
      <w:r>
        <w:t>The consequences of opacity are concrete. ProPublica’s 2016 investigation of the COMPAS recidivism-risk algorithm used in U.S. criminal courts found that “the formula was particularly likely to falsely flag black defendants as future criminals, wrongly labeling them this way at almost twice the rate as white defendants” — specifically, 45% of black higher-risk defendants were misclassified as compared to 23% of comparably-scored white defendants.</w:t>
      </w:r>
      <w:r>
        <w:rPr>
          <w:rStyle w:val="FootnoteReference"/>
        </w:rPr>
        <w:footnoteReference w:id="8"/>
      </w:r>
      <w:r>
        <w:t xml:space="preserve"> Because the algorithm was proprietary, defendants and judges could not interrogate the reasoning behind a given score. Whatever one’s view of the methodology debate that followed, the case demonstrated that opacity is not a technicality — it is a barrier to due process.</w:t>
      </w:r>
    </w:p>
    <w:p w14:paraId="7C5EA004" w14:textId="77777777" w:rsidR="009E139C" w:rsidRDefault="003D45ED">
      <w:pPr>
        <w:pStyle w:val="Heading1"/>
        <w:spacing w:before="280" w:after="160"/>
      </w:pPr>
      <w:r>
        <w:t>5. Human cognitive processes: what we are trying to imitate (or contrast)</w:t>
      </w:r>
    </w:p>
    <w:p w14:paraId="552DB72F" w14:textId="77777777" w:rsidR="009E139C" w:rsidRDefault="003D45ED">
      <w:pPr>
        <w:spacing w:after="160" w:line="300" w:lineRule="auto"/>
        <w:jc w:val="both"/>
      </w:pPr>
      <w:r>
        <w:t>Before contrasting human and artificial cognition, we should recall what cognition involves in people. Cognitive science conventionally lists at least four basic capacities:</w:t>
      </w:r>
      <w:r>
        <w:rPr>
          <w:rStyle w:val="FootnoteReference"/>
        </w:rPr>
        <w:footnoteReference w:id="9"/>
      </w:r>
    </w:p>
    <w:p w14:paraId="55D9581F" w14:textId="77777777" w:rsidR="009E139C" w:rsidRDefault="003D45ED">
      <w:pPr>
        <w:pStyle w:val="ListParagraph"/>
        <w:numPr>
          <w:ilvl w:val="0"/>
          <w:numId w:val="3"/>
        </w:numPr>
        <w:spacing w:after="100" w:line="300" w:lineRule="auto"/>
      </w:pPr>
      <w:r>
        <w:rPr>
          <w:b/>
          <w:bCs/>
        </w:rPr>
        <w:t>Perception</w:t>
      </w:r>
      <w:r>
        <w:t xml:space="preserve"> — turning sensory data (light, sound, pressure) into structured information.</w:t>
      </w:r>
    </w:p>
    <w:p w14:paraId="0E167322" w14:textId="77777777" w:rsidR="009E139C" w:rsidRDefault="003D45ED">
      <w:pPr>
        <w:pStyle w:val="ListParagraph"/>
        <w:numPr>
          <w:ilvl w:val="0"/>
          <w:numId w:val="3"/>
        </w:numPr>
        <w:spacing w:after="100" w:line="300" w:lineRule="auto"/>
      </w:pPr>
      <w:r>
        <w:rPr>
          <w:b/>
          <w:bCs/>
        </w:rPr>
        <w:t>Memory</w:t>
      </w:r>
      <w:r>
        <w:t xml:space="preserve"> — encoding, storing, and retrieving information across timescales, from milliseconds (sensory) to decades (autobiographical).</w:t>
      </w:r>
    </w:p>
    <w:p w14:paraId="0E4B98FA" w14:textId="77777777" w:rsidR="009E139C" w:rsidRDefault="003D45ED">
      <w:pPr>
        <w:pStyle w:val="ListParagraph"/>
        <w:numPr>
          <w:ilvl w:val="0"/>
          <w:numId w:val="3"/>
        </w:numPr>
        <w:spacing w:after="100" w:line="300" w:lineRule="auto"/>
      </w:pPr>
      <w:r>
        <w:rPr>
          <w:b/>
          <w:bCs/>
        </w:rPr>
        <w:t>Reasoning</w:t>
      </w:r>
      <w:r>
        <w:t xml:space="preserve"> — combining information to draw inferences, plan, and solve problems.</w:t>
      </w:r>
    </w:p>
    <w:p w14:paraId="05385616" w14:textId="77777777" w:rsidR="009E139C" w:rsidRDefault="003D45ED">
      <w:pPr>
        <w:pStyle w:val="ListParagraph"/>
        <w:numPr>
          <w:ilvl w:val="0"/>
          <w:numId w:val="3"/>
        </w:numPr>
        <w:spacing w:after="100" w:line="300" w:lineRule="auto"/>
      </w:pPr>
      <w:r>
        <w:rPr>
          <w:b/>
          <w:bCs/>
        </w:rPr>
        <w:t>Learning</w:t>
      </w:r>
      <w:r>
        <w:t xml:space="preserve"> — updating future behaviour on the basis of past experience.</w:t>
      </w:r>
    </w:p>
    <w:p w14:paraId="5D4B445C" w14:textId="77777777" w:rsidR="009E139C" w:rsidRDefault="003D45ED">
      <w:pPr>
        <w:spacing w:after="160" w:line="300" w:lineRule="auto"/>
        <w:jc w:val="both"/>
      </w:pPr>
      <w:r>
        <w:t xml:space="preserve">A useful overlay is Daniel Kahneman’s distinction between two modes of thinking. </w:t>
      </w:r>
      <w:r>
        <w:rPr>
          <w:b/>
          <w:bCs/>
        </w:rPr>
        <w:t>System 1</w:t>
      </w:r>
      <w:r>
        <w:t xml:space="preserve"> “operates automatically and quickly, with little or no effort and no sense of voluntary control”. </w:t>
      </w:r>
      <w:r>
        <w:rPr>
          <w:b/>
          <w:bCs/>
        </w:rPr>
        <w:t>System 2</w:t>
      </w:r>
      <w:r>
        <w:t xml:space="preserve"> “allocates attention to the effortful mental activities that demand it, including complex computations”.</w:t>
      </w:r>
      <w:r>
        <w:rPr>
          <w:rStyle w:val="FootnoteReference"/>
        </w:rPr>
        <w:footnoteReference w:id="10"/>
      </w:r>
      <w:r>
        <w:t xml:space="preserve"> We will see in §7 that today’s deep-learning systems behave much more like System 1 (fast, intuitive, pattern-based) than like System 2 (slow, deliberate, rule-based) — and that this lopsidedness is one root of the explainability problem.</w:t>
      </w:r>
    </w:p>
    <w:p w14:paraId="2B8A6A5F" w14:textId="77777777" w:rsidR="009E139C" w:rsidRDefault="003D45ED">
      <w:pPr>
        <w:pStyle w:val="Heading1"/>
        <w:spacing w:before="280" w:after="160"/>
      </w:pPr>
      <w:r>
        <w:t>6. Cognitive architectures: the office-building analogy</w:t>
      </w:r>
    </w:p>
    <w:p w14:paraId="781F7608" w14:textId="77777777" w:rsidR="009E139C" w:rsidRDefault="003D45ED">
      <w:pPr>
        <w:spacing w:after="160" w:line="300" w:lineRule="auto"/>
        <w:jc w:val="both"/>
      </w:pPr>
      <w:r>
        <w:t xml:space="preserve">A </w:t>
      </w:r>
      <w:r>
        <w:rPr>
          <w:b/>
          <w:bCs/>
        </w:rPr>
        <w:t>cognitive architecture</w:t>
      </w:r>
      <w:r>
        <w:t xml:space="preserve"> is a unified, computational theory of how the various capacities just listed fit together into a working mind. Kotseruba and Tsotsos’s comprehensive review surveys eighty-four such architectures developed over forty years, of which forty-nine were still actively maintained at the time of writing.</w:t>
      </w:r>
      <w:r>
        <w:rPr>
          <w:rStyle w:val="FootnoteReference"/>
        </w:rPr>
        <w:footnoteReference w:id="11"/>
      </w:r>
      <w:r>
        <w:t xml:space="preserve"> Three are particularly influential — </w:t>
      </w:r>
      <w:r>
        <w:rPr>
          <w:b/>
          <w:bCs/>
        </w:rPr>
        <w:t>ACT-R</w:t>
      </w:r>
      <w:r>
        <w:t xml:space="preserve">, </w:t>
      </w:r>
      <w:r>
        <w:rPr>
          <w:b/>
          <w:bCs/>
        </w:rPr>
        <w:t>SOAR</w:t>
      </w:r>
      <w:r>
        <w:t xml:space="preserve">, and </w:t>
      </w:r>
      <w:r>
        <w:rPr>
          <w:b/>
          <w:bCs/>
        </w:rPr>
        <w:t>CLARION</w:t>
      </w:r>
      <w:r>
        <w:t xml:space="preserve"> — and they map neatly onto a single guiding metaphor: each is an office building with a different floor plan.</w:t>
      </w:r>
    </w:p>
    <w:p w14:paraId="6A000199" w14:textId="77777777" w:rsidR="009E139C" w:rsidRDefault="003D45ED">
      <w:pPr>
        <w:pStyle w:val="Heading2"/>
        <w:spacing w:before="280" w:after="160"/>
      </w:pPr>
      <w:r>
        <w:t>6.1 ACT-R: the organised office with departmental memos</w:t>
      </w:r>
    </w:p>
    <w:p w14:paraId="1D4A2B9E" w14:textId="77777777" w:rsidR="009E139C" w:rsidRDefault="003D45ED">
      <w:pPr>
        <w:spacing w:after="160" w:line="300" w:lineRule="auto"/>
        <w:jc w:val="both"/>
      </w:pPr>
      <w:r>
        <w:t xml:space="preserve">John Anderson’s </w:t>
      </w:r>
      <w:r>
        <w:rPr>
          <w:b/>
          <w:bCs/>
        </w:rPr>
        <w:t>Adaptive Control of Thought–Rational</w:t>
      </w:r>
      <w:r>
        <w:t xml:space="preserve"> (ACT-R) is a </w:t>
      </w:r>
      <w:r>
        <w:rPr>
          <w:i/>
          <w:iCs/>
        </w:rPr>
        <w:t>modular</w:t>
      </w:r>
      <w:r>
        <w:t xml:space="preserve"> architecture. Imagine a corporate office with separate departments — Visual Perception, Declarative Memory, Procedural Memory, Motor Control — each behind its own closed door. The departments do not chat freely; they communicate through small, formal “buffers” the size of an inter-office memo. Anderson developed ACT-R explicitly as an answer to Allen Newell’s challenge “how can the human mind occur in the physical universe?”,</w:t>
      </w:r>
      <w:r>
        <w:rPr>
          <w:rStyle w:val="FootnoteReference"/>
        </w:rPr>
        <w:footnoteReference w:id="12"/>
      </w:r>
      <w:r>
        <w:t xml:space="preserve"> mapping each module onto a brain region identified through neuroimaging. The modular discipline makes ACT-R powerful for predicting reaction times in tightly controlled experiments and for tutoring systems that mirror student cognition.</w:t>
      </w:r>
    </w:p>
    <w:p w14:paraId="4178087E" w14:textId="77777777" w:rsidR="009E139C" w:rsidRDefault="003D45ED">
      <w:pPr>
        <w:pStyle w:val="Heading2"/>
        <w:spacing w:before="280" w:after="160"/>
      </w:pPr>
      <w:r>
        <w:t>6.2 SOAR: the open-plan workspace</w:t>
      </w:r>
    </w:p>
    <w:p w14:paraId="34EA972D" w14:textId="77777777" w:rsidR="009E139C" w:rsidRDefault="003D45ED">
      <w:pPr>
        <w:spacing w:after="160" w:line="300" w:lineRule="auto"/>
        <w:jc w:val="both"/>
      </w:pPr>
      <w:r>
        <w:t xml:space="preserve">John Laird’s </w:t>
      </w:r>
      <w:r>
        <w:rPr>
          <w:b/>
          <w:bCs/>
        </w:rPr>
        <w:t>SOAR</w:t>
      </w:r>
      <w:r>
        <w:t xml:space="preserve"> architecture, developed from Newell’s </w:t>
      </w:r>
      <w:r>
        <w:rPr>
          <w:i/>
          <w:iCs/>
        </w:rPr>
        <w:t>Unified Theories of Cognition</w:t>
      </w:r>
      <w:r>
        <w:t xml:space="preserve">, takes the opposite design choice. Picture a single open-plan workspace where everyone — perception, planning, memory, motor — works around one shared whiteboard, the </w:t>
      </w:r>
      <w:r>
        <w:rPr>
          <w:i/>
          <w:iCs/>
        </w:rPr>
        <w:t>working memory</w:t>
      </w:r>
      <w:r>
        <w:t xml:space="preserve">. Whenever the system reaches an </w:t>
      </w:r>
      <w:r>
        <w:rPr>
          <w:i/>
          <w:iCs/>
        </w:rPr>
        <w:t>impasse</w:t>
      </w:r>
      <w:r>
        <w:t>, a new sub-goal automatically appears on the whiteboard and the team collaborates to resolve it. Recent versions of SOAR have added reinforcement learning, semantic memory, episodic memory, and an appraisal-based mode</w:t>
      </w:r>
      <w:r>
        <w:t>l of emotion, but the unified-workspace philosophy is unchanged.</w:t>
      </w:r>
      <w:r>
        <w:rPr>
          <w:rStyle w:val="FootnoteReference"/>
        </w:rPr>
        <w:footnoteReference w:id="13"/>
      </w:r>
      <w:r>
        <w:t xml:space="preserve"> SOAR has been used to build complex integrated AI agents, including military training simulations and autonomous robots.</w:t>
      </w:r>
    </w:p>
    <w:p w14:paraId="26B6652D" w14:textId="77777777" w:rsidR="009E139C" w:rsidRDefault="003D45ED">
      <w:pPr>
        <w:pStyle w:val="Heading2"/>
        <w:spacing w:before="280" w:after="160"/>
      </w:pPr>
      <w:r>
        <w:t>6.3 CLARION: the two-floor building</w:t>
      </w:r>
    </w:p>
    <w:p w14:paraId="3E54424B" w14:textId="77777777" w:rsidR="009E139C" w:rsidRDefault="003D45ED">
      <w:pPr>
        <w:spacing w:after="160" w:line="300" w:lineRule="auto"/>
        <w:jc w:val="both"/>
      </w:pPr>
      <w:r>
        <w:t xml:space="preserve">Ron Sun’s </w:t>
      </w:r>
      <w:r>
        <w:rPr>
          <w:b/>
          <w:bCs/>
        </w:rPr>
        <w:t>CLARION</w:t>
      </w:r>
      <w:r>
        <w:t xml:space="preserve"> (Connectionist Learning with Adaptive Rule Induction On-line) is best pictured as a two-storey building. Upstairs are the explicit, symbolic rules — the kind of knowledge you can write on a whiteboard and explain at a meeting. Downstairs is the implicit, intuitive layer — a network of weighted associations that produce hunches without articulable reasons. Learning can flow in both directions: explicit rules can be drilled until they become automatic (top-down), and implicit pattern recognition can c</w:t>
      </w:r>
      <w:r>
        <w:t>rystallise into stateable rules (bottom-up).</w:t>
      </w:r>
      <w:r>
        <w:rPr>
          <w:rStyle w:val="FootnoteReference"/>
        </w:rPr>
        <w:footnoteReference w:id="14"/>
      </w:r>
      <w:r>
        <w:t xml:space="preserve"> CLARION is the architecture that most explicitly mirrors Kahneman’s System 1 / System 2 distinction.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E139C" w14:paraId="698C659E" w14:textId="77777777">
        <w:tblPrEx>
          <w:tblCellMar>
            <w:top w:w="0" w:type="dxa"/>
            <w:bottom w:w="0" w:type="dxa"/>
          </w:tblCellMar>
        </w:tblPrEx>
        <w:tc>
          <w:tcPr>
            <w:tcW w:w="9360" w:type="dxa"/>
            <w:tcBorders>
              <w:top w:val="single" w:sz="4" w:space="0" w:color="BFBFBF"/>
              <w:left w:val="single" w:sz="4" w:space="0" w:color="BFBFBF"/>
              <w:bottom w:val="single" w:sz="4" w:space="0" w:color="BFBFBF"/>
              <w:right w:val="single" w:sz="4" w:space="0" w:color="BFBFBF"/>
            </w:tcBorders>
            <w:shd w:val="clear" w:color="auto" w:fill="F2F2F2"/>
            <w:tcMar>
              <w:top w:w="160" w:type="dxa"/>
              <w:left w:w="200" w:type="dxa"/>
              <w:bottom w:w="160" w:type="dxa"/>
              <w:right w:w="200" w:type="dxa"/>
            </w:tcMar>
          </w:tcPr>
          <w:p w14:paraId="0A123FA0" w14:textId="77777777" w:rsidR="003D45ED" w:rsidRDefault="003D45ED" w:rsidP="003D45ED">
            <w:pPr>
              <w:spacing w:line="280" w:lineRule="auto"/>
              <w:rPr>
                <w:i/>
                <w:iCs/>
                <w:sz w:val="20"/>
                <w:szCs w:val="20"/>
              </w:rPr>
            </w:pPr>
            <w:r w:rsidRPr="003D45ED">
              <w:rPr>
                <w:i/>
                <w:iCs/>
                <w:sz w:val="20"/>
                <w:szCs w:val="20"/>
                <w:highlight w:val="yellow"/>
              </w:rPr>
              <w:t>= to be done by attendees =</w:t>
            </w:r>
          </w:p>
          <w:p w14:paraId="41801402" w14:textId="15100105" w:rsidR="009E139C" w:rsidRDefault="003D45ED">
            <w:pPr>
              <w:spacing w:line="280" w:lineRule="auto"/>
            </w:pPr>
            <w:r>
              <w:rPr>
                <w:i/>
                <w:iCs/>
                <w:sz w:val="20"/>
                <w:szCs w:val="20"/>
              </w:rPr>
              <w:t>Figure 3. The “office building” metaphor for cognitive architectures. Three buildings drawn side by side. (a) ACT-R is a multi-storey corporate office with labelled departments — Vision, Declarative Memory, Procedural Memory, Motor — each with a single narrow window (the “buffer”) through which memos pass to a Central Control room. (b) SOAR is a single-storey open-plan office; perception, memory, and action sit around one large table representing working memory, with arrows showing impasse-driven sub-goalin</w:t>
            </w:r>
            <w:r>
              <w:rPr>
                <w:i/>
                <w:iCs/>
                <w:sz w:val="20"/>
                <w:szCs w:val="20"/>
              </w:rPr>
              <w:t>g. (c) CLARION is a two-storey house: the upper floor is labelled “Explicit / Symbolic / Rules”, the lower floor “Implicit / Connectionist / Intuition”, with a staircase representing bidirectional learning between them. The figure crystallises the symbolic vs. connectionist vs. hybrid distinction discussed in §6.4.</w:t>
            </w:r>
          </w:p>
        </w:tc>
      </w:tr>
    </w:tbl>
    <w:p w14:paraId="4A2356E2" w14:textId="77777777" w:rsidR="009E139C" w:rsidRDefault="003D45ED">
      <w:pPr>
        <w:pStyle w:val="Heading2"/>
        <w:spacing w:before="280" w:after="160"/>
      </w:pPr>
      <w:r>
        <w:t>6.4 Symbolic, connectionist, hybrid</w:t>
      </w:r>
    </w:p>
    <w:p w14:paraId="48C8F8F0" w14:textId="77777777" w:rsidR="009E139C" w:rsidRDefault="003D45ED">
      <w:pPr>
        <w:spacing w:after="160" w:line="300" w:lineRule="auto"/>
        <w:jc w:val="both"/>
      </w:pPr>
      <w:r>
        <w:t xml:space="preserve">The three architectures embody three deep traditions in AI (Table 1). The </w:t>
      </w:r>
      <w:r>
        <w:rPr>
          <w:b/>
          <w:bCs/>
        </w:rPr>
        <w:t>symbolic</w:t>
      </w:r>
      <w:r>
        <w:t xml:space="preserve"> tradition, formalised in Newell and Simon’s Physical Symbol System Hypothesis — “a physical symbol system has the necessary and sufficient means for general intelligent action”</w:t>
      </w:r>
      <w:r>
        <w:rPr>
          <w:rStyle w:val="FootnoteReference"/>
        </w:rPr>
        <w:footnoteReference w:id="15"/>
      </w:r>
      <w:r>
        <w:t xml:space="preserve"> — treats thinking as the manipulation of meaningful tokens, like algebra. The </w:t>
      </w:r>
      <w:r>
        <w:rPr>
          <w:b/>
          <w:bCs/>
        </w:rPr>
        <w:t>connectionist</w:t>
      </w:r>
      <w:r>
        <w:t xml:space="preserve"> tradition, embodied in modern deep learning, treats thinking as the spread of activation through networks of simple units. </w:t>
      </w:r>
      <w:r>
        <w:rPr>
          <w:b/>
          <w:bCs/>
        </w:rPr>
        <w:t>Hybrid</w:t>
      </w:r>
      <w:r>
        <w:t xml:space="preserve"> approaches such as CLARION (and an emerging “neuro-symbolic” research programme) try to combine the strengths of both: the explainable structure of symbols, the statistical robustness of networks.</w:t>
      </w:r>
    </w:p>
    <w:p w14:paraId="6102EB0C" w14:textId="77777777" w:rsidR="009E139C" w:rsidRDefault="003D45ED">
      <w:pPr>
        <w:spacing w:before="160" w:after="100"/>
      </w:pPr>
      <w:r>
        <w:rPr>
          <w:i/>
          <w:iCs/>
          <w:sz w:val="20"/>
          <w:szCs w:val="20"/>
        </w:rPr>
        <w:t>Table 1. Comparison of symbolic, connectionist, and hybrid approaches.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2400"/>
        <w:gridCol w:w="2400"/>
        <w:gridCol w:w="2860"/>
      </w:tblGrid>
      <w:tr w:rsidR="009E139C" w14:paraId="1CB9E2F6" w14:textId="77777777">
        <w:tblPrEx>
          <w:tblCellMar>
            <w:top w:w="0" w:type="dxa"/>
            <w:bottom w:w="0" w:type="dxa"/>
          </w:tblCellMar>
        </w:tblPrEx>
        <w:trPr>
          <w:tblHeader/>
        </w:trPr>
        <w:tc>
          <w:tcPr>
            <w:tcW w:w="1700" w:type="dxa"/>
            <w:tcBorders>
              <w:top w:val="single" w:sz="4" w:space="0" w:color="AAAAAA"/>
              <w:left w:val="single" w:sz="4" w:space="0" w:color="AAAAAA"/>
              <w:bottom w:val="single" w:sz="4" w:space="0" w:color="AAAAAA"/>
              <w:right w:val="single" w:sz="4" w:space="0" w:color="AAAAAA"/>
            </w:tcBorders>
            <w:shd w:val="clear" w:color="auto" w:fill="D5E8F0"/>
            <w:tcMar>
              <w:top w:w="100" w:type="dxa"/>
              <w:left w:w="140" w:type="dxa"/>
              <w:bottom w:w="100" w:type="dxa"/>
              <w:right w:w="140" w:type="dxa"/>
            </w:tcMar>
          </w:tcPr>
          <w:p w14:paraId="48001FB9" w14:textId="77777777" w:rsidR="009E139C" w:rsidRDefault="003D45ED">
            <w:pPr>
              <w:spacing w:line="260" w:lineRule="auto"/>
            </w:pPr>
            <w:r>
              <w:rPr>
                <w:b/>
                <w:bCs/>
                <w:sz w:val="20"/>
                <w:szCs w:val="20"/>
              </w:rPr>
              <w:t>Dimension</w:t>
            </w:r>
          </w:p>
        </w:tc>
        <w:tc>
          <w:tcPr>
            <w:tcW w:w="2400" w:type="dxa"/>
            <w:tcBorders>
              <w:top w:val="single" w:sz="4" w:space="0" w:color="AAAAAA"/>
              <w:left w:val="single" w:sz="4" w:space="0" w:color="AAAAAA"/>
              <w:bottom w:val="single" w:sz="4" w:space="0" w:color="AAAAAA"/>
              <w:right w:val="single" w:sz="4" w:space="0" w:color="AAAAAA"/>
            </w:tcBorders>
            <w:shd w:val="clear" w:color="auto" w:fill="D5E8F0"/>
            <w:tcMar>
              <w:top w:w="100" w:type="dxa"/>
              <w:left w:w="140" w:type="dxa"/>
              <w:bottom w:w="100" w:type="dxa"/>
              <w:right w:w="140" w:type="dxa"/>
            </w:tcMar>
          </w:tcPr>
          <w:p w14:paraId="47CDD96B" w14:textId="77777777" w:rsidR="009E139C" w:rsidRDefault="003D45ED">
            <w:pPr>
              <w:spacing w:line="260" w:lineRule="auto"/>
            </w:pPr>
            <w:r>
              <w:rPr>
                <w:b/>
                <w:bCs/>
                <w:sz w:val="20"/>
                <w:szCs w:val="20"/>
              </w:rPr>
              <w:t>Symbolic</w:t>
            </w:r>
          </w:p>
        </w:tc>
        <w:tc>
          <w:tcPr>
            <w:tcW w:w="2400" w:type="dxa"/>
            <w:tcBorders>
              <w:top w:val="single" w:sz="4" w:space="0" w:color="AAAAAA"/>
              <w:left w:val="single" w:sz="4" w:space="0" w:color="AAAAAA"/>
              <w:bottom w:val="single" w:sz="4" w:space="0" w:color="AAAAAA"/>
              <w:right w:val="single" w:sz="4" w:space="0" w:color="AAAAAA"/>
            </w:tcBorders>
            <w:shd w:val="clear" w:color="auto" w:fill="D5E8F0"/>
            <w:tcMar>
              <w:top w:w="100" w:type="dxa"/>
              <w:left w:w="140" w:type="dxa"/>
              <w:bottom w:w="100" w:type="dxa"/>
              <w:right w:w="140" w:type="dxa"/>
            </w:tcMar>
          </w:tcPr>
          <w:p w14:paraId="3F1AB636" w14:textId="77777777" w:rsidR="009E139C" w:rsidRDefault="003D45ED">
            <w:pPr>
              <w:spacing w:line="260" w:lineRule="auto"/>
            </w:pPr>
            <w:r>
              <w:rPr>
                <w:b/>
                <w:bCs/>
                <w:sz w:val="20"/>
                <w:szCs w:val="20"/>
              </w:rPr>
              <w:t>Connectionist</w:t>
            </w:r>
          </w:p>
        </w:tc>
        <w:tc>
          <w:tcPr>
            <w:tcW w:w="2860" w:type="dxa"/>
            <w:tcBorders>
              <w:top w:val="single" w:sz="4" w:space="0" w:color="AAAAAA"/>
              <w:left w:val="single" w:sz="4" w:space="0" w:color="AAAAAA"/>
              <w:bottom w:val="single" w:sz="4" w:space="0" w:color="AAAAAA"/>
              <w:right w:val="single" w:sz="4" w:space="0" w:color="AAAAAA"/>
            </w:tcBorders>
            <w:shd w:val="clear" w:color="auto" w:fill="D5E8F0"/>
            <w:tcMar>
              <w:top w:w="100" w:type="dxa"/>
              <w:left w:w="140" w:type="dxa"/>
              <w:bottom w:w="100" w:type="dxa"/>
              <w:right w:w="140" w:type="dxa"/>
            </w:tcMar>
          </w:tcPr>
          <w:p w14:paraId="7ECD155F" w14:textId="77777777" w:rsidR="009E139C" w:rsidRDefault="003D45ED">
            <w:pPr>
              <w:spacing w:line="260" w:lineRule="auto"/>
            </w:pPr>
            <w:r>
              <w:rPr>
                <w:b/>
                <w:bCs/>
                <w:sz w:val="20"/>
                <w:szCs w:val="20"/>
              </w:rPr>
              <w:t>Hybrid</w:t>
            </w:r>
          </w:p>
        </w:tc>
      </w:tr>
      <w:tr w:rsidR="009E139C" w14:paraId="7039BE3D" w14:textId="77777777">
        <w:tblPrEx>
          <w:tblCellMar>
            <w:top w:w="0" w:type="dxa"/>
            <w:bottom w:w="0" w:type="dxa"/>
          </w:tblCellMar>
        </w:tblPrEx>
        <w:tc>
          <w:tcPr>
            <w:tcW w:w="1700" w:type="dxa"/>
            <w:tcBorders>
              <w:top w:val="single" w:sz="4" w:space="0" w:color="AAAAAA"/>
              <w:left w:val="single" w:sz="4" w:space="0" w:color="AAAAAA"/>
              <w:bottom w:val="single" w:sz="4" w:space="0" w:color="AAAAAA"/>
              <w:right w:val="single" w:sz="4" w:space="0" w:color="AAAAAA"/>
            </w:tcBorders>
            <w:tcMar>
              <w:top w:w="100" w:type="dxa"/>
              <w:left w:w="140" w:type="dxa"/>
              <w:bottom w:w="100" w:type="dxa"/>
              <w:right w:w="140" w:type="dxa"/>
            </w:tcMar>
          </w:tcPr>
          <w:p w14:paraId="2244BE2D" w14:textId="77777777" w:rsidR="009E139C" w:rsidRDefault="003D45ED">
            <w:pPr>
              <w:spacing w:line="260" w:lineRule="auto"/>
            </w:pPr>
            <w:r>
              <w:rPr>
                <w:b/>
                <w:bCs/>
                <w:sz w:val="20"/>
                <w:szCs w:val="20"/>
              </w:rPr>
              <w:t>Knowledge form</w:t>
            </w:r>
          </w:p>
        </w:tc>
        <w:tc>
          <w:tcPr>
            <w:tcW w:w="2400" w:type="dxa"/>
            <w:tcBorders>
              <w:top w:val="single" w:sz="4" w:space="0" w:color="AAAAAA"/>
              <w:left w:val="single" w:sz="4" w:space="0" w:color="AAAAAA"/>
              <w:bottom w:val="single" w:sz="4" w:space="0" w:color="AAAAAA"/>
              <w:right w:val="single" w:sz="4" w:space="0" w:color="AAAAAA"/>
            </w:tcBorders>
            <w:tcMar>
              <w:top w:w="100" w:type="dxa"/>
              <w:left w:w="140" w:type="dxa"/>
              <w:bottom w:w="100" w:type="dxa"/>
              <w:right w:w="140" w:type="dxa"/>
            </w:tcMar>
          </w:tcPr>
          <w:p w14:paraId="424090C6" w14:textId="77777777" w:rsidR="009E139C" w:rsidRDefault="003D45ED">
            <w:pPr>
              <w:spacing w:line="260" w:lineRule="auto"/>
            </w:pPr>
            <w:r>
              <w:rPr>
                <w:sz w:val="20"/>
                <w:szCs w:val="20"/>
              </w:rPr>
              <w:t>Explicit rules, logic, symbols</w:t>
            </w:r>
          </w:p>
        </w:tc>
        <w:tc>
          <w:tcPr>
            <w:tcW w:w="2400" w:type="dxa"/>
            <w:tcBorders>
              <w:top w:val="single" w:sz="4" w:space="0" w:color="AAAAAA"/>
              <w:left w:val="single" w:sz="4" w:space="0" w:color="AAAAAA"/>
              <w:bottom w:val="single" w:sz="4" w:space="0" w:color="AAAAAA"/>
              <w:right w:val="single" w:sz="4" w:space="0" w:color="AAAAAA"/>
            </w:tcBorders>
            <w:tcMar>
              <w:top w:w="100" w:type="dxa"/>
              <w:left w:w="140" w:type="dxa"/>
              <w:bottom w:w="100" w:type="dxa"/>
              <w:right w:w="140" w:type="dxa"/>
            </w:tcMar>
          </w:tcPr>
          <w:p w14:paraId="41FEE042" w14:textId="77777777" w:rsidR="009E139C" w:rsidRDefault="003D45ED">
            <w:pPr>
              <w:spacing w:line="260" w:lineRule="auto"/>
            </w:pPr>
            <w:r>
              <w:rPr>
                <w:sz w:val="20"/>
                <w:szCs w:val="20"/>
              </w:rPr>
              <w:t>Numerical weights spread across a network</w:t>
            </w:r>
          </w:p>
        </w:tc>
        <w:tc>
          <w:tcPr>
            <w:tcW w:w="2860" w:type="dxa"/>
            <w:tcBorders>
              <w:top w:val="single" w:sz="4" w:space="0" w:color="AAAAAA"/>
              <w:left w:val="single" w:sz="4" w:space="0" w:color="AAAAAA"/>
              <w:bottom w:val="single" w:sz="4" w:space="0" w:color="AAAAAA"/>
              <w:right w:val="single" w:sz="4" w:space="0" w:color="AAAAAA"/>
            </w:tcBorders>
            <w:tcMar>
              <w:top w:w="100" w:type="dxa"/>
              <w:left w:w="140" w:type="dxa"/>
              <w:bottom w:w="100" w:type="dxa"/>
              <w:right w:w="140" w:type="dxa"/>
            </w:tcMar>
          </w:tcPr>
          <w:p w14:paraId="69EE2621" w14:textId="77777777" w:rsidR="009E139C" w:rsidRDefault="003D45ED">
            <w:pPr>
              <w:spacing w:line="260" w:lineRule="auto"/>
            </w:pPr>
            <w:r>
              <w:rPr>
                <w:sz w:val="20"/>
                <w:szCs w:val="20"/>
              </w:rPr>
              <w:t>Symbols and weights in coupled subsystems</w:t>
            </w:r>
          </w:p>
        </w:tc>
      </w:tr>
      <w:tr w:rsidR="009E139C" w14:paraId="52287CB1" w14:textId="77777777">
        <w:tblPrEx>
          <w:tblCellMar>
            <w:top w:w="0" w:type="dxa"/>
            <w:bottom w:w="0" w:type="dxa"/>
          </w:tblCellMar>
        </w:tblPrEx>
        <w:tc>
          <w:tcPr>
            <w:tcW w:w="1700" w:type="dxa"/>
            <w:tcBorders>
              <w:top w:val="single" w:sz="4" w:space="0" w:color="AAAAAA"/>
              <w:left w:val="single" w:sz="4" w:space="0" w:color="AAAAAA"/>
              <w:bottom w:val="single" w:sz="4" w:space="0" w:color="AAAAAA"/>
              <w:right w:val="single" w:sz="4" w:space="0" w:color="AAAAAA"/>
            </w:tcBorders>
            <w:tcMar>
              <w:top w:w="100" w:type="dxa"/>
              <w:left w:w="140" w:type="dxa"/>
              <w:bottom w:w="100" w:type="dxa"/>
              <w:right w:w="140" w:type="dxa"/>
            </w:tcMar>
          </w:tcPr>
          <w:p w14:paraId="72442CD5" w14:textId="77777777" w:rsidR="009E139C" w:rsidRDefault="003D45ED">
            <w:pPr>
              <w:spacing w:line="260" w:lineRule="auto"/>
            </w:pPr>
            <w:r>
              <w:rPr>
                <w:b/>
                <w:bCs/>
                <w:sz w:val="20"/>
                <w:szCs w:val="20"/>
              </w:rPr>
              <w:t>Strengths</w:t>
            </w:r>
          </w:p>
        </w:tc>
        <w:tc>
          <w:tcPr>
            <w:tcW w:w="2400" w:type="dxa"/>
            <w:tcBorders>
              <w:top w:val="single" w:sz="4" w:space="0" w:color="AAAAAA"/>
              <w:left w:val="single" w:sz="4" w:space="0" w:color="AAAAAA"/>
              <w:bottom w:val="single" w:sz="4" w:space="0" w:color="AAAAAA"/>
              <w:right w:val="single" w:sz="4" w:space="0" w:color="AAAAAA"/>
            </w:tcBorders>
            <w:tcMar>
              <w:top w:w="100" w:type="dxa"/>
              <w:left w:w="140" w:type="dxa"/>
              <w:bottom w:w="100" w:type="dxa"/>
              <w:right w:w="140" w:type="dxa"/>
            </w:tcMar>
          </w:tcPr>
          <w:p w14:paraId="3C78DF31" w14:textId="77777777" w:rsidR="009E139C" w:rsidRDefault="003D45ED">
            <w:pPr>
              <w:spacing w:line="260" w:lineRule="auto"/>
            </w:pPr>
            <w:r>
              <w:rPr>
                <w:sz w:val="20"/>
                <w:szCs w:val="20"/>
              </w:rPr>
              <w:t>Compositionality, transparency, ease of verification</w:t>
            </w:r>
          </w:p>
        </w:tc>
        <w:tc>
          <w:tcPr>
            <w:tcW w:w="2400" w:type="dxa"/>
            <w:tcBorders>
              <w:top w:val="single" w:sz="4" w:space="0" w:color="AAAAAA"/>
              <w:left w:val="single" w:sz="4" w:space="0" w:color="AAAAAA"/>
              <w:bottom w:val="single" w:sz="4" w:space="0" w:color="AAAAAA"/>
              <w:right w:val="single" w:sz="4" w:space="0" w:color="AAAAAA"/>
            </w:tcBorders>
            <w:tcMar>
              <w:top w:w="100" w:type="dxa"/>
              <w:left w:w="140" w:type="dxa"/>
              <w:bottom w:w="100" w:type="dxa"/>
              <w:right w:w="140" w:type="dxa"/>
            </w:tcMar>
          </w:tcPr>
          <w:p w14:paraId="04171F5D" w14:textId="77777777" w:rsidR="009E139C" w:rsidRDefault="003D45ED">
            <w:pPr>
              <w:spacing w:line="260" w:lineRule="auto"/>
            </w:pPr>
            <w:r>
              <w:rPr>
                <w:sz w:val="20"/>
                <w:szCs w:val="20"/>
              </w:rPr>
              <w:t>Pattern recognition, robustness to noisy data, scalability with data</w:t>
            </w:r>
          </w:p>
        </w:tc>
        <w:tc>
          <w:tcPr>
            <w:tcW w:w="2860" w:type="dxa"/>
            <w:tcBorders>
              <w:top w:val="single" w:sz="4" w:space="0" w:color="AAAAAA"/>
              <w:left w:val="single" w:sz="4" w:space="0" w:color="AAAAAA"/>
              <w:bottom w:val="single" w:sz="4" w:space="0" w:color="AAAAAA"/>
              <w:right w:val="single" w:sz="4" w:space="0" w:color="AAAAAA"/>
            </w:tcBorders>
            <w:tcMar>
              <w:top w:w="100" w:type="dxa"/>
              <w:left w:w="140" w:type="dxa"/>
              <w:bottom w:w="100" w:type="dxa"/>
              <w:right w:w="140" w:type="dxa"/>
            </w:tcMar>
          </w:tcPr>
          <w:p w14:paraId="061AEDFB" w14:textId="77777777" w:rsidR="009E139C" w:rsidRDefault="003D45ED">
            <w:pPr>
              <w:spacing w:line="260" w:lineRule="auto"/>
            </w:pPr>
            <w:r>
              <w:rPr>
                <w:sz w:val="20"/>
                <w:szCs w:val="20"/>
              </w:rPr>
              <w:t>Combines transparency with statistical learning</w:t>
            </w:r>
          </w:p>
        </w:tc>
      </w:tr>
      <w:tr w:rsidR="009E139C" w14:paraId="17F8AE97" w14:textId="77777777">
        <w:tblPrEx>
          <w:tblCellMar>
            <w:top w:w="0" w:type="dxa"/>
            <w:bottom w:w="0" w:type="dxa"/>
          </w:tblCellMar>
        </w:tblPrEx>
        <w:tc>
          <w:tcPr>
            <w:tcW w:w="1700" w:type="dxa"/>
            <w:tcBorders>
              <w:top w:val="single" w:sz="4" w:space="0" w:color="AAAAAA"/>
              <w:left w:val="single" w:sz="4" w:space="0" w:color="AAAAAA"/>
              <w:bottom w:val="single" w:sz="4" w:space="0" w:color="AAAAAA"/>
              <w:right w:val="single" w:sz="4" w:space="0" w:color="AAAAAA"/>
            </w:tcBorders>
            <w:tcMar>
              <w:top w:w="100" w:type="dxa"/>
              <w:left w:w="140" w:type="dxa"/>
              <w:bottom w:w="100" w:type="dxa"/>
              <w:right w:w="140" w:type="dxa"/>
            </w:tcMar>
          </w:tcPr>
          <w:p w14:paraId="76446937" w14:textId="77777777" w:rsidR="009E139C" w:rsidRDefault="003D45ED">
            <w:pPr>
              <w:spacing w:line="260" w:lineRule="auto"/>
            </w:pPr>
            <w:r>
              <w:rPr>
                <w:b/>
                <w:bCs/>
                <w:sz w:val="20"/>
                <w:szCs w:val="20"/>
              </w:rPr>
              <w:t>Weaknesses</w:t>
            </w:r>
          </w:p>
        </w:tc>
        <w:tc>
          <w:tcPr>
            <w:tcW w:w="2400" w:type="dxa"/>
            <w:tcBorders>
              <w:top w:val="single" w:sz="4" w:space="0" w:color="AAAAAA"/>
              <w:left w:val="single" w:sz="4" w:space="0" w:color="AAAAAA"/>
              <w:bottom w:val="single" w:sz="4" w:space="0" w:color="AAAAAA"/>
              <w:right w:val="single" w:sz="4" w:space="0" w:color="AAAAAA"/>
            </w:tcBorders>
            <w:tcMar>
              <w:top w:w="100" w:type="dxa"/>
              <w:left w:w="140" w:type="dxa"/>
              <w:bottom w:w="100" w:type="dxa"/>
              <w:right w:w="140" w:type="dxa"/>
            </w:tcMar>
          </w:tcPr>
          <w:p w14:paraId="398557CB" w14:textId="77777777" w:rsidR="009E139C" w:rsidRDefault="003D45ED">
            <w:pPr>
              <w:spacing w:line="260" w:lineRule="auto"/>
            </w:pPr>
            <w:r>
              <w:rPr>
                <w:sz w:val="20"/>
                <w:szCs w:val="20"/>
              </w:rPr>
              <w:t>Brittle when faced with messy, real-world data</w:t>
            </w:r>
          </w:p>
        </w:tc>
        <w:tc>
          <w:tcPr>
            <w:tcW w:w="2400" w:type="dxa"/>
            <w:tcBorders>
              <w:top w:val="single" w:sz="4" w:space="0" w:color="AAAAAA"/>
              <w:left w:val="single" w:sz="4" w:space="0" w:color="AAAAAA"/>
              <w:bottom w:val="single" w:sz="4" w:space="0" w:color="AAAAAA"/>
              <w:right w:val="single" w:sz="4" w:space="0" w:color="AAAAAA"/>
            </w:tcBorders>
            <w:tcMar>
              <w:top w:w="100" w:type="dxa"/>
              <w:left w:w="140" w:type="dxa"/>
              <w:bottom w:w="100" w:type="dxa"/>
              <w:right w:w="140" w:type="dxa"/>
            </w:tcMar>
          </w:tcPr>
          <w:p w14:paraId="4B85E77A" w14:textId="77777777" w:rsidR="009E139C" w:rsidRDefault="003D45ED">
            <w:pPr>
              <w:spacing w:line="260" w:lineRule="auto"/>
            </w:pPr>
            <w:r>
              <w:rPr>
                <w:sz w:val="20"/>
                <w:szCs w:val="20"/>
              </w:rPr>
              <w:t>Opaque (“black box”), data-hungry, prone to spurious correlations</w:t>
            </w:r>
          </w:p>
        </w:tc>
        <w:tc>
          <w:tcPr>
            <w:tcW w:w="2860" w:type="dxa"/>
            <w:tcBorders>
              <w:top w:val="single" w:sz="4" w:space="0" w:color="AAAAAA"/>
              <w:left w:val="single" w:sz="4" w:space="0" w:color="AAAAAA"/>
              <w:bottom w:val="single" w:sz="4" w:space="0" w:color="AAAAAA"/>
              <w:right w:val="single" w:sz="4" w:space="0" w:color="AAAAAA"/>
            </w:tcBorders>
            <w:tcMar>
              <w:top w:w="100" w:type="dxa"/>
              <w:left w:w="140" w:type="dxa"/>
              <w:bottom w:w="100" w:type="dxa"/>
              <w:right w:w="140" w:type="dxa"/>
            </w:tcMar>
          </w:tcPr>
          <w:p w14:paraId="6B0E2044" w14:textId="77777777" w:rsidR="009E139C" w:rsidRDefault="003D45ED">
            <w:pPr>
              <w:spacing w:line="260" w:lineRule="auto"/>
            </w:pPr>
            <w:r>
              <w:rPr>
                <w:sz w:val="20"/>
                <w:szCs w:val="20"/>
              </w:rPr>
              <w:t>Engineering complexity; integration is hard</w:t>
            </w:r>
          </w:p>
        </w:tc>
      </w:tr>
      <w:tr w:rsidR="009E139C" w14:paraId="2D7FBFE1" w14:textId="77777777">
        <w:tblPrEx>
          <w:tblCellMar>
            <w:top w:w="0" w:type="dxa"/>
            <w:bottom w:w="0" w:type="dxa"/>
          </w:tblCellMar>
        </w:tblPrEx>
        <w:tc>
          <w:tcPr>
            <w:tcW w:w="1700" w:type="dxa"/>
            <w:tcBorders>
              <w:top w:val="single" w:sz="4" w:space="0" w:color="AAAAAA"/>
              <w:left w:val="single" w:sz="4" w:space="0" w:color="AAAAAA"/>
              <w:bottom w:val="single" w:sz="4" w:space="0" w:color="AAAAAA"/>
              <w:right w:val="single" w:sz="4" w:space="0" w:color="AAAAAA"/>
            </w:tcBorders>
            <w:tcMar>
              <w:top w:w="100" w:type="dxa"/>
              <w:left w:w="140" w:type="dxa"/>
              <w:bottom w:w="100" w:type="dxa"/>
              <w:right w:w="140" w:type="dxa"/>
            </w:tcMar>
          </w:tcPr>
          <w:p w14:paraId="3A4EA143" w14:textId="77777777" w:rsidR="009E139C" w:rsidRDefault="003D45ED">
            <w:pPr>
              <w:spacing w:line="260" w:lineRule="auto"/>
            </w:pPr>
            <w:r>
              <w:rPr>
                <w:b/>
                <w:bCs/>
                <w:sz w:val="20"/>
                <w:szCs w:val="20"/>
              </w:rPr>
              <w:t>Exemplary architecture</w:t>
            </w:r>
          </w:p>
        </w:tc>
        <w:tc>
          <w:tcPr>
            <w:tcW w:w="2400" w:type="dxa"/>
            <w:tcBorders>
              <w:top w:val="single" w:sz="4" w:space="0" w:color="AAAAAA"/>
              <w:left w:val="single" w:sz="4" w:space="0" w:color="AAAAAA"/>
              <w:bottom w:val="single" w:sz="4" w:space="0" w:color="AAAAAA"/>
              <w:right w:val="single" w:sz="4" w:space="0" w:color="AAAAAA"/>
            </w:tcBorders>
            <w:tcMar>
              <w:top w:w="100" w:type="dxa"/>
              <w:left w:w="140" w:type="dxa"/>
              <w:bottom w:w="100" w:type="dxa"/>
              <w:right w:w="140" w:type="dxa"/>
            </w:tcMar>
          </w:tcPr>
          <w:p w14:paraId="758D48F9" w14:textId="77777777" w:rsidR="009E139C" w:rsidRDefault="003D45ED">
            <w:pPr>
              <w:spacing w:line="260" w:lineRule="auto"/>
            </w:pPr>
            <w:r>
              <w:rPr>
                <w:sz w:val="20"/>
                <w:szCs w:val="20"/>
              </w:rPr>
              <w:t>SOAR (early), expert systems</w:t>
            </w:r>
          </w:p>
        </w:tc>
        <w:tc>
          <w:tcPr>
            <w:tcW w:w="2400" w:type="dxa"/>
            <w:tcBorders>
              <w:top w:val="single" w:sz="4" w:space="0" w:color="AAAAAA"/>
              <w:left w:val="single" w:sz="4" w:space="0" w:color="AAAAAA"/>
              <w:bottom w:val="single" w:sz="4" w:space="0" w:color="AAAAAA"/>
              <w:right w:val="single" w:sz="4" w:space="0" w:color="AAAAAA"/>
            </w:tcBorders>
            <w:tcMar>
              <w:top w:w="100" w:type="dxa"/>
              <w:left w:w="140" w:type="dxa"/>
              <w:bottom w:w="100" w:type="dxa"/>
              <w:right w:w="140" w:type="dxa"/>
            </w:tcMar>
          </w:tcPr>
          <w:p w14:paraId="48357D28" w14:textId="77777777" w:rsidR="009E139C" w:rsidRDefault="003D45ED">
            <w:pPr>
              <w:spacing w:line="260" w:lineRule="auto"/>
            </w:pPr>
            <w:r>
              <w:rPr>
                <w:sz w:val="20"/>
                <w:szCs w:val="20"/>
              </w:rPr>
              <w:t>Modern deep neural networks</w:t>
            </w:r>
          </w:p>
        </w:tc>
        <w:tc>
          <w:tcPr>
            <w:tcW w:w="2860" w:type="dxa"/>
            <w:tcBorders>
              <w:top w:val="single" w:sz="4" w:space="0" w:color="AAAAAA"/>
              <w:left w:val="single" w:sz="4" w:space="0" w:color="AAAAAA"/>
              <w:bottom w:val="single" w:sz="4" w:space="0" w:color="AAAAAA"/>
              <w:right w:val="single" w:sz="4" w:space="0" w:color="AAAAAA"/>
            </w:tcBorders>
            <w:tcMar>
              <w:top w:w="100" w:type="dxa"/>
              <w:left w:w="140" w:type="dxa"/>
              <w:bottom w:w="100" w:type="dxa"/>
              <w:right w:w="140" w:type="dxa"/>
            </w:tcMar>
          </w:tcPr>
          <w:p w14:paraId="470F3562" w14:textId="77777777" w:rsidR="009E139C" w:rsidRDefault="003D45ED">
            <w:pPr>
              <w:spacing w:line="260" w:lineRule="auto"/>
            </w:pPr>
            <w:r>
              <w:rPr>
                <w:sz w:val="20"/>
                <w:szCs w:val="20"/>
              </w:rPr>
              <w:t>CLARION; emerging neuro-symbolic systems</w:t>
            </w:r>
          </w:p>
        </w:tc>
      </w:tr>
      <w:tr w:rsidR="009E139C" w14:paraId="3ED081CF" w14:textId="77777777">
        <w:tblPrEx>
          <w:tblCellMar>
            <w:top w:w="0" w:type="dxa"/>
            <w:bottom w:w="0" w:type="dxa"/>
          </w:tblCellMar>
        </w:tblPrEx>
        <w:tc>
          <w:tcPr>
            <w:tcW w:w="1700" w:type="dxa"/>
            <w:tcBorders>
              <w:top w:val="single" w:sz="4" w:space="0" w:color="AAAAAA"/>
              <w:left w:val="single" w:sz="4" w:space="0" w:color="AAAAAA"/>
              <w:bottom w:val="single" w:sz="4" w:space="0" w:color="AAAAAA"/>
              <w:right w:val="single" w:sz="4" w:space="0" w:color="AAAAAA"/>
            </w:tcBorders>
            <w:tcMar>
              <w:top w:w="100" w:type="dxa"/>
              <w:left w:w="140" w:type="dxa"/>
              <w:bottom w:w="100" w:type="dxa"/>
              <w:right w:w="140" w:type="dxa"/>
            </w:tcMar>
          </w:tcPr>
          <w:p w14:paraId="18F0D4F6" w14:textId="77777777" w:rsidR="009E139C" w:rsidRDefault="003D45ED">
            <w:pPr>
              <w:spacing w:line="260" w:lineRule="auto"/>
            </w:pPr>
            <w:r>
              <w:rPr>
                <w:b/>
                <w:bCs/>
                <w:sz w:val="20"/>
                <w:szCs w:val="20"/>
              </w:rPr>
              <w:t>Era of dominance</w:t>
            </w:r>
          </w:p>
        </w:tc>
        <w:tc>
          <w:tcPr>
            <w:tcW w:w="2400" w:type="dxa"/>
            <w:tcBorders>
              <w:top w:val="single" w:sz="4" w:space="0" w:color="AAAAAA"/>
              <w:left w:val="single" w:sz="4" w:space="0" w:color="AAAAAA"/>
              <w:bottom w:val="single" w:sz="4" w:space="0" w:color="AAAAAA"/>
              <w:right w:val="single" w:sz="4" w:space="0" w:color="AAAAAA"/>
            </w:tcBorders>
            <w:tcMar>
              <w:top w:w="100" w:type="dxa"/>
              <w:left w:w="140" w:type="dxa"/>
              <w:bottom w:w="100" w:type="dxa"/>
              <w:right w:w="140" w:type="dxa"/>
            </w:tcMar>
          </w:tcPr>
          <w:p w14:paraId="6A269A03" w14:textId="77777777" w:rsidR="009E139C" w:rsidRDefault="003D45ED">
            <w:pPr>
              <w:spacing w:line="260" w:lineRule="auto"/>
            </w:pPr>
            <w:r>
              <w:rPr>
                <w:sz w:val="20"/>
                <w:szCs w:val="20"/>
              </w:rPr>
              <w:t>1956–late 1980s</w:t>
            </w:r>
          </w:p>
        </w:tc>
        <w:tc>
          <w:tcPr>
            <w:tcW w:w="2400" w:type="dxa"/>
            <w:tcBorders>
              <w:top w:val="single" w:sz="4" w:space="0" w:color="AAAAAA"/>
              <w:left w:val="single" w:sz="4" w:space="0" w:color="AAAAAA"/>
              <w:bottom w:val="single" w:sz="4" w:space="0" w:color="AAAAAA"/>
              <w:right w:val="single" w:sz="4" w:space="0" w:color="AAAAAA"/>
            </w:tcBorders>
            <w:tcMar>
              <w:top w:w="100" w:type="dxa"/>
              <w:left w:w="140" w:type="dxa"/>
              <w:bottom w:w="100" w:type="dxa"/>
              <w:right w:w="140" w:type="dxa"/>
            </w:tcMar>
          </w:tcPr>
          <w:p w14:paraId="65EF4B37" w14:textId="77777777" w:rsidR="009E139C" w:rsidRDefault="003D45ED">
            <w:pPr>
              <w:spacing w:line="260" w:lineRule="auto"/>
            </w:pPr>
            <w:r>
              <w:rPr>
                <w:sz w:val="20"/>
                <w:szCs w:val="20"/>
              </w:rPr>
              <w:t>2012–present</w:t>
            </w:r>
          </w:p>
        </w:tc>
        <w:tc>
          <w:tcPr>
            <w:tcW w:w="2860" w:type="dxa"/>
            <w:tcBorders>
              <w:top w:val="single" w:sz="4" w:space="0" w:color="AAAAAA"/>
              <w:left w:val="single" w:sz="4" w:space="0" w:color="AAAAAA"/>
              <w:bottom w:val="single" w:sz="4" w:space="0" w:color="AAAAAA"/>
              <w:right w:val="single" w:sz="4" w:space="0" w:color="AAAAAA"/>
            </w:tcBorders>
            <w:tcMar>
              <w:top w:w="100" w:type="dxa"/>
              <w:left w:w="140" w:type="dxa"/>
              <w:bottom w:w="100" w:type="dxa"/>
              <w:right w:w="140" w:type="dxa"/>
            </w:tcMar>
          </w:tcPr>
          <w:p w14:paraId="28256CED" w14:textId="77777777" w:rsidR="009E139C" w:rsidRDefault="003D45ED">
            <w:pPr>
              <w:spacing w:line="260" w:lineRule="auto"/>
            </w:pPr>
            <w:r>
              <w:rPr>
                <w:sz w:val="20"/>
                <w:szCs w:val="20"/>
              </w:rPr>
              <w:t>Active frontier</w:t>
            </w:r>
          </w:p>
        </w:tc>
      </w:tr>
    </w:tbl>
    <w:p w14:paraId="6010C780" w14:textId="77777777" w:rsidR="009E139C" w:rsidRDefault="009E139C">
      <w:pPr>
        <w:spacing w:after="120"/>
      </w:pPr>
    </w:p>
    <w:p w14:paraId="7EC26984" w14:textId="77777777" w:rsidR="009E139C" w:rsidRDefault="003D45ED">
      <w:pPr>
        <w:pStyle w:val="Heading1"/>
        <w:spacing w:before="280" w:after="160"/>
      </w:pPr>
      <w:r>
        <w:t>7. How artificial cognition differs from human cognition</w:t>
      </w:r>
    </w:p>
    <w:p w14:paraId="0356DC00" w14:textId="77777777" w:rsidR="009E139C" w:rsidRDefault="003D45ED">
      <w:pPr>
        <w:spacing w:after="160" w:line="300" w:lineRule="auto"/>
        <w:jc w:val="both"/>
      </w:pPr>
      <w:r>
        <w:t xml:space="preserve">The course title — </w:t>
      </w:r>
      <w:r>
        <w:rPr>
          <w:i/>
          <w:iCs/>
        </w:rPr>
        <w:t>Artificial Cognition</w:t>
      </w:r>
      <w:r>
        <w:t xml:space="preserve"> — signals that we treat AI not just as a tool but as a </w:t>
      </w:r>
      <w:r>
        <w:rPr>
          <w:i/>
          <w:iCs/>
        </w:rPr>
        <w:t>cognitive system</w:t>
      </w:r>
      <w:r>
        <w:t xml:space="preserve"> whose behaviour can be studied with the conceptual tools that psychologists have developed for studying minds. Taylor and Taylor argue exactly this: “The human mind is also a black box, and cognitive psychologists have over 150 years of experience modeling it through experimentation. We ought to translate the methods and rigor of cognitive psychology to the study of artificial black boxes in the service of explainab</w:t>
      </w:r>
      <w:r>
        <w:t>ility.”</w:t>
      </w:r>
      <w:r>
        <w:rPr>
          <w:rStyle w:val="FootnoteReference"/>
        </w:rPr>
        <w:footnoteReference w:id="16"/>
      </w:r>
      <w:r>
        <w:t xml:space="preserve"> Siemens and colleagues likewise call for treating “cognition” rather than “intelligence” as the analytical primitive when comparing humans and machines.</w:t>
      </w:r>
      <w:r>
        <w:rPr>
          <w:rStyle w:val="FootnoteReference"/>
        </w:rPr>
        <w:footnoteReference w:id="17"/>
      </w:r>
    </w:p>
    <w:p w14:paraId="3642A6F8" w14:textId="77777777" w:rsidR="009E139C" w:rsidRDefault="003D45ED">
      <w:pPr>
        <w:spacing w:after="160" w:line="300" w:lineRule="auto"/>
        <w:jc w:val="both"/>
      </w:pPr>
      <w:r>
        <w:t>Yet, however inviting the analogy, machines do not think the way people do. Six contrasts matter for managers, regulators, and journalists.</w:t>
      </w:r>
    </w:p>
    <w:p w14:paraId="360C500F" w14:textId="77777777" w:rsidR="009E139C" w:rsidRDefault="003D45ED">
      <w:pPr>
        <w:pStyle w:val="Heading2"/>
        <w:spacing w:before="280" w:after="160"/>
      </w:pPr>
      <w:r>
        <w:t>7.1 Learning speed and data efficiency</w:t>
      </w:r>
    </w:p>
    <w:p w14:paraId="116832BB" w14:textId="77777777" w:rsidR="009E139C" w:rsidRDefault="003D45ED">
      <w:pPr>
        <w:spacing w:after="160" w:line="300" w:lineRule="auto"/>
        <w:jc w:val="both"/>
      </w:pPr>
      <w:r>
        <w:t xml:space="preserve">A two-year-old child shown three pictures of a giraffe will reliably recognise giraffes for life. A deep-learning image classifier typically needs thousands or millions of labelled examples per category. Lake, Ullman, Tenenbaum and Gershman, in their influential </w:t>
      </w:r>
      <w:r>
        <w:rPr>
          <w:i/>
          <w:iCs/>
        </w:rPr>
        <w:t>Behavioral and Brain Sciences</w:t>
      </w:r>
      <w:r>
        <w:t xml:space="preserve"> paper, argue that human-like learning depends on </w:t>
      </w:r>
      <w:r>
        <w:rPr>
          <w:i/>
          <w:iCs/>
        </w:rPr>
        <w:t>building causal models</w:t>
      </w:r>
      <w:r>
        <w:t xml:space="preserve"> of the world and grounding learning in intuitive theories of physics and psychology — capacities current deep networks do not possess.</w:t>
      </w:r>
      <w:r>
        <w:rPr>
          <w:rStyle w:val="FootnoteReference"/>
        </w:rPr>
        <w:footnoteReference w:id="18"/>
      </w:r>
      <w:r>
        <w:t xml:space="preserve"> Marcus and Davis press the same point: today’s systems are “narrow, brittle” pattern-matchers that lack common-sense understanding.</w:t>
      </w:r>
      <w:r>
        <w:rPr>
          <w:rStyle w:val="FootnoteReference"/>
        </w:rPr>
        <w:footnoteReference w:id="19"/>
      </w:r>
    </w:p>
    <w:p w14:paraId="656EFD42" w14:textId="77777777" w:rsidR="009E139C" w:rsidRDefault="003D45ED">
      <w:pPr>
        <w:pStyle w:val="Heading2"/>
        <w:spacing w:before="280" w:after="160"/>
      </w:pPr>
      <w:r>
        <w:t>7.2 Transfer across domains</w:t>
      </w:r>
    </w:p>
    <w:p w14:paraId="6DF6B832" w14:textId="77777777" w:rsidR="009E139C" w:rsidRDefault="003D45ED">
      <w:pPr>
        <w:spacing w:after="160" w:line="300" w:lineRule="auto"/>
        <w:jc w:val="both"/>
      </w:pPr>
      <w:r>
        <w:t>Humans move knowledge fluidly across contexts: someone who has learned to drive a sedan can drive a van within minutes. Deep-learning systems struggle to do this. The Atari-playing deep Q-network (DQN) of Mnih and colleagues, for example, was trained separately for each of forty-nine games, and follow-up work showed that “applying these algorithms to slightly different environments generally requires agents to learn the new task from scratch”.</w:t>
      </w:r>
      <w:r>
        <w:rPr>
          <w:rStyle w:val="FootnoteReference"/>
        </w:rPr>
        <w:footnoteReference w:id="20"/>
      </w:r>
      <w:r>
        <w:t xml:space="preserve"> </w:t>
      </w:r>
      <w:r>
        <w:rPr>
          <w:i/>
          <w:iCs/>
        </w:rPr>
        <w:t>Transfer learning</w:t>
      </w:r>
      <w:r>
        <w:t xml:space="preserve"> exists as a research programme precisely because such transfer does not happen automatically.</w:t>
      </w:r>
    </w:p>
    <w:p w14:paraId="2D055398" w14:textId="77777777" w:rsidR="009E139C" w:rsidRDefault="003D45ED">
      <w:pPr>
        <w:pStyle w:val="Heading2"/>
        <w:spacing w:before="280" w:after="160"/>
      </w:pPr>
      <w:r>
        <w:t>7.3 Energy</w:t>
      </w:r>
    </w:p>
    <w:p w14:paraId="4064CAC1" w14:textId="77777777" w:rsidR="009E139C" w:rsidRDefault="003D45ED">
      <w:pPr>
        <w:spacing w:after="160" w:line="300" w:lineRule="auto"/>
        <w:jc w:val="both"/>
      </w:pPr>
      <w:r>
        <w:t xml:space="preserve">Here the asymmetry is most dramatic. The human brain runs on roughly </w:t>
      </w:r>
      <w:r>
        <w:rPr>
          <w:b/>
          <w:bCs/>
        </w:rPr>
        <w:t>20 watts</w:t>
      </w:r>
      <w:r>
        <w:t xml:space="preserve"> of metabolic power — about the consumption of a dim incandescent bulb — while supporting the entire cognitive repertoire of a person.</w:t>
      </w:r>
      <w:r>
        <w:rPr>
          <w:rStyle w:val="FootnoteReference"/>
        </w:rPr>
        <w:footnoteReference w:id="21"/>
      </w:r>
      <w:r>
        <w:t xml:space="preserve"> The training of a single large natural-language model, by contrast, can emit hundreds of thousands of pounds of CO₂-equivalent: Strubell, Ganesh and McCallum estimated that the full development pipeline of one Transformer-based model produced “more than 78,000 pounds” of CO₂-equivalent over a six-month period, and that the most expensive single run measured was the original BERT, with “a carbon footprint of roughly 1,400 pounds of carbon dioxide equivalent”.</w:t>
      </w:r>
      <w:r>
        <w:rPr>
          <w:rStyle w:val="FootnoteReference"/>
        </w:rPr>
        <w:footnoteReference w:id="22"/>
      </w:r>
      <w:r>
        <w:t xml:space="preserve"> Those 2019 figures have been dwarfed by subsequent models: estimates for training GPT-4 place its carbon footprint at between roughly 1,035 and 14,994 metric tons of CO₂-equivalent depending on the energy grid used — orders of magnitude above any model Strubell and colleagues studied.</w:t>
      </w:r>
      <w:r>
        <w:rPr>
          <w:rStyle w:val="FootnoteReference"/>
        </w:rPr>
        <w:footnoteReference w:id="23"/>
      </w:r>
      <w:r>
        <w:t xml:space="preserve"> The energy gap between brains and computers is not merely an engineering inconvenience; it shapes who can afford to build cutting-edge AI and what its environmental footprint will be.</w:t>
      </w:r>
    </w:p>
    <w:p w14:paraId="75C33476" w14:textId="77777777" w:rsidR="009E139C" w:rsidRDefault="003D45ED">
      <w:pPr>
        <w:pStyle w:val="Heading2"/>
        <w:spacing w:before="280" w:after="160"/>
      </w:pPr>
      <w:r>
        <w:t>7.4 Catastrophic forgetting</w:t>
      </w:r>
    </w:p>
    <w:p w14:paraId="5CC097B7" w14:textId="77777777" w:rsidR="009E139C" w:rsidRDefault="003D45ED">
      <w:pPr>
        <w:spacing w:after="160" w:line="300" w:lineRule="auto"/>
        <w:jc w:val="both"/>
      </w:pPr>
      <w:r>
        <w:t xml:space="preserve">When a neural network is trained on Task A and then on Task B, it tends to lose its ability to perform Task A — sometimes almost completely. This is </w:t>
      </w:r>
      <w:r>
        <w:rPr>
          <w:b/>
          <w:bCs/>
        </w:rPr>
        <w:t>catastrophic forgetting</w:t>
      </w:r>
      <w:r>
        <w:t xml:space="preserve"> (or catastrophic interference), first systematically demonstrated by McCloskey and Cohen in 1989 and reviewed comprehensively by French a decade later.</w:t>
      </w:r>
      <w:r>
        <w:rPr>
          <w:rStyle w:val="FootnoteReference"/>
        </w:rPr>
        <w:footnoteReference w:id="24"/>
      </w:r>
      <w:r>
        <w:t xml:space="preserve"> Humans forget too, of course, but rarely so abruptly: a violinist who takes up the cello does not lose the violin. The mismatch matters for any AI system that needs to keep learning after deployment — an important consideration for regulated industries that update models frequently.</w:t>
      </w:r>
    </w:p>
    <w:p w14:paraId="63892344" w14:textId="77777777" w:rsidR="009E139C" w:rsidRDefault="003D45ED">
      <w:pPr>
        <w:pStyle w:val="Heading2"/>
        <w:spacing w:before="280" w:after="160"/>
      </w:pPr>
      <w:r>
        <w:t>7.5 Motivation and goals</w:t>
      </w:r>
    </w:p>
    <w:p w14:paraId="1F1AD51A" w14:textId="77777777" w:rsidR="009E139C" w:rsidRDefault="003D45ED">
      <w:pPr>
        <w:spacing w:after="160" w:line="300" w:lineRule="auto"/>
        <w:jc w:val="both"/>
      </w:pPr>
      <w:r>
        <w:t xml:space="preserve">A child explores its environment because it is curious; nobody pays it. Most AI systems have no intrinsic motivation; they optimise an </w:t>
      </w:r>
      <w:r>
        <w:rPr>
          <w:i/>
          <w:iCs/>
        </w:rPr>
        <w:t>objective function</w:t>
      </w:r>
      <w:r>
        <w:t xml:space="preserve"> set by their designers. This sounds like a technicality but it is profoundly consequential: a recommender system tuned to maximise watch time has no concept of “good content” — it simply surfaces whatever keeps eyes on screens. Hosseinmardi and colleagues’ large-scale audit of YouTube consumption showed that engagement-optimised systems amplify whatever content users are predisposed to watch, including extreme political material, even when the algorithm was not explicitly designed to do s</w:t>
      </w:r>
      <w:r>
        <w:t>o.</w:t>
      </w:r>
      <w:r>
        <w:rPr>
          <w:rStyle w:val="FootnoteReference"/>
        </w:rPr>
        <w:footnoteReference w:id="25"/>
      </w:r>
    </w:p>
    <w:p w14:paraId="636E0169" w14:textId="77777777" w:rsidR="009E139C" w:rsidRDefault="003D45ED">
      <w:pPr>
        <w:pStyle w:val="Heading2"/>
        <w:spacing w:before="280" w:after="160"/>
      </w:pPr>
      <w:r>
        <w:t>7.6 Embodiment and grounding</w:t>
      </w:r>
    </w:p>
    <w:p w14:paraId="0E39177A" w14:textId="77777777" w:rsidR="009E139C" w:rsidRDefault="003D45ED">
      <w:pPr>
        <w:spacing w:after="160" w:line="300" w:lineRule="auto"/>
        <w:jc w:val="both"/>
      </w:pPr>
      <w:r>
        <w:t>Human concepts are anchored in bodies: when you read the word “grasp” your motor cortex partially activates as if to grasp. Most AI systems lack bodies, sensorimotor experience, or social context; their concept of “cup” is statistical co-occurrence, not the felt difference between a heavy mug and a paper cup.</w:t>
      </w:r>
    </w:p>
    <w:p w14:paraId="3F46603D" w14:textId="77777777" w:rsidR="009E139C" w:rsidRDefault="003D45ED">
      <w:pPr>
        <w:spacing w:before="200" w:after="100"/>
      </w:pPr>
      <w:r>
        <w:rPr>
          <w:i/>
          <w:iCs/>
          <w:sz w:val="20"/>
          <w:szCs w:val="20"/>
        </w:rPr>
        <w:t>Table 2. Human cognition vs. artificial cognition across six dimensions.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300"/>
        <w:gridCol w:w="3860"/>
      </w:tblGrid>
      <w:tr w:rsidR="009E139C" w14:paraId="38573FE4" w14:textId="77777777">
        <w:tblPrEx>
          <w:tblCellMar>
            <w:top w:w="0" w:type="dxa"/>
            <w:bottom w:w="0" w:type="dxa"/>
          </w:tblCellMar>
        </w:tblPrEx>
        <w:trPr>
          <w:tblHeader/>
        </w:trPr>
        <w:tc>
          <w:tcPr>
            <w:tcW w:w="2200" w:type="dxa"/>
            <w:tcBorders>
              <w:top w:val="single" w:sz="4" w:space="0" w:color="AAAAAA"/>
              <w:left w:val="single" w:sz="4" w:space="0" w:color="AAAAAA"/>
              <w:bottom w:val="single" w:sz="4" w:space="0" w:color="AAAAAA"/>
              <w:right w:val="single" w:sz="4" w:space="0" w:color="AAAAAA"/>
            </w:tcBorders>
            <w:shd w:val="clear" w:color="auto" w:fill="D5E8F0"/>
            <w:tcMar>
              <w:top w:w="100" w:type="dxa"/>
              <w:left w:w="140" w:type="dxa"/>
              <w:bottom w:w="100" w:type="dxa"/>
              <w:right w:w="140" w:type="dxa"/>
            </w:tcMar>
          </w:tcPr>
          <w:p w14:paraId="09E6D17D" w14:textId="77777777" w:rsidR="009E139C" w:rsidRDefault="003D45ED">
            <w:pPr>
              <w:spacing w:line="260" w:lineRule="auto"/>
            </w:pPr>
            <w:r>
              <w:rPr>
                <w:b/>
                <w:bCs/>
                <w:sz w:val="20"/>
                <w:szCs w:val="20"/>
              </w:rPr>
              <w:t>Dimension</w:t>
            </w:r>
          </w:p>
        </w:tc>
        <w:tc>
          <w:tcPr>
            <w:tcW w:w="3300" w:type="dxa"/>
            <w:tcBorders>
              <w:top w:val="single" w:sz="4" w:space="0" w:color="AAAAAA"/>
              <w:left w:val="single" w:sz="4" w:space="0" w:color="AAAAAA"/>
              <w:bottom w:val="single" w:sz="4" w:space="0" w:color="AAAAAA"/>
              <w:right w:val="single" w:sz="4" w:space="0" w:color="AAAAAA"/>
            </w:tcBorders>
            <w:shd w:val="clear" w:color="auto" w:fill="D5E8F0"/>
            <w:tcMar>
              <w:top w:w="100" w:type="dxa"/>
              <w:left w:w="140" w:type="dxa"/>
              <w:bottom w:w="100" w:type="dxa"/>
              <w:right w:w="140" w:type="dxa"/>
            </w:tcMar>
          </w:tcPr>
          <w:p w14:paraId="76FF6D44" w14:textId="77777777" w:rsidR="009E139C" w:rsidRDefault="003D45ED">
            <w:pPr>
              <w:spacing w:line="260" w:lineRule="auto"/>
            </w:pPr>
            <w:r>
              <w:rPr>
                <w:b/>
                <w:bCs/>
                <w:sz w:val="20"/>
                <w:szCs w:val="20"/>
              </w:rPr>
              <w:t>Human cognition</w:t>
            </w:r>
          </w:p>
        </w:tc>
        <w:tc>
          <w:tcPr>
            <w:tcW w:w="3860" w:type="dxa"/>
            <w:tcBorders>
              <w:top w:val="single" w:sz="4" w:space="0" w:color="AAAAAA"/>
              <w:left w:val="single" w:sz="4" w:space="0" w:color="AAAAAA"/>
              <w:bottom w:val="single" w:sz="4" w:space="0" w:color="AAAAAA"/>
              <w:right w:val="single" w:sz="4" w:space="0" w:color="AAAAAA"/>
            </w:tcBorders>
            <w:shd w:val="clear" w:color="auto" w:fill="D5E8F0"/>
            <w:tcMar>
              <w:top w:w="100" w:type="dxa"/>
              <w:left w:w="140" w:type="dxa"/>
              <w:bottom w:w="100" w:type="dxa"/>
              <w:right w:w="140" w:type="dxa"/>
            </w:tcMar>
          </w:tcPr>
          <w:p w14:paraId="400FC722" w14:textId="77777777" w:rsidR="009E139C" w:rsidRDefault="003D45ED">
            <w:pPr>
              <w:spacing w:line="260" w:lineRule="auto"/>
            </w:pPr>
            <w:r>
              <w:rPr>
                <w:b/>
                <w:bCs/>
                <w:sz w:val="20"/>
                <w:szCs w:val="20"/>
              </w:rPr>
              <w:t>Artificial (deep-learning) cognition</w:t>
            </w:r>
          </w:p>
        </w:tc>
      </w:tr>
      <w:tr w:rsidR="009E139C" w14:paraId="7E6A43FB" w14:textId="77777777">
        <w:tblPrEx>
          <w:tblCellMar>
            <w:top w:w="0" w:type="dxa"/>
            <w:bottom w:w="0" w:type="dxa"/>
          </w:tblCellMar>
        </w:tblPrEx>
        <w:tc>
          <w:tcPr>
            <w:tcW w:w="2200" w:type="dxa"/>
            <w:tcBorders>
              <w:top w:val="single" w:sz="4" w:space="0" w:color="AAAAAA"/>
              <w:left w:val="single" w:sz="4" w:space="0" w:color="AAAAAA"/>
              <w:bottom w:val="single" w:sz="4" w:space="0" w:color="AAAAAA"/>
              <w:right w:val="single" w:sz="4" w:space="0" w:color="AAAAAA"/>
            </w:tcBorders>
            <w:tcMar>
              <w:top w:w="100" w:type="dxa"/>
              <w:left w:w="140" w:type="dxa"/>
              <w:bottom w:w="100" w:type="dxa"/>
              <w:right w:w="140" w:type="dxa"/>
            </w:tcMar>
          </w:tcPr>
          <w:p w14:paraId="063ACDD2" w14:textId="77777777" w:rsidR="009E139C" w:rsidRDefault="003D45ED">
            <w:pPr>
              <w:spacing w:line="260" w:lineRule="auto"/>
            </w:pPr>
            <w:r>
              <w:rPr>
                <w:b/>
                <w:bCs/>
                <w:sz w:val="20"/>
                <w:szCs w:val="20"/>
              </w:rPr>
              <w:t>Learning efficiency</w:t>
            </w:r>
          </w:p>
        </w:tc>
        <w:tc>
          <w:tcPr>
            <w:tcW w:w="3300" w:type="dxa"/>
            <w:tcBorders>
              <w:top w:val="single" w:sz="4" w:space="0" w:color="AAAAAA"/>
              <w:left w:val="single" w:sz="4" w:space="0" w:color="AAAAAA"/>
              <w:bottom w:val="single" w:sz="4" w:space="0" w:color="AAAAAA"/>
              <w:right w:val="single" w:sz="4" w:space="0" w:color="AAAAAA"/>
            </w:tcBorders>
            <w:tcMar>
              <w:top w:w="100" w:type="dxa"/>
              <w:left w:w="140" w:type="dxa"/>
              <w:bottom w:w="100" w:type="dxa"/>
              <w:right w:w="140" w:type="dxa"/>
            </w:tcMar>
          </w:tcPr>
          <w:p w14:paraId="18F6A96A" w14:textId="77777777" w:rsidR="009E139C" w:rsidRDefault="003D45ED">
            <w:pPr>
              <w:spacing w:line="260" w:lineRule="auto"/>
            </w:pPr>
            <w:r>
              <w:rPr>
                <w:sz w:val="20"/>
                <w:szCs w:val="20"/>
              </w:rPr>
              <w:t>Few-shot or one-shot for many concepts</w:t>
            </w:r>
          </w:p>
        </w:tc>
        <w:tc>
          <w:tcPr>
            <w:tcW w:w="3860" w:type="dxa"/>
            <w:tcBorders>
              <w:top w:val="single" w:sz="4" w:space="0" w:color="AAAAAA"/>
              <w:left w:val="single" w:sz="4" w:space="0" w:color="AAAAAA"/>
              <w:bottom w:val="single" w:sz="4" w:space="0" w:color="AAAAAA"/>
              <w:right w:val="single" w:sz="4" w:space="0" w:color="AAAAAA"/>
            </w:tcBorders>
            <w:tcMar>
              <w:top w:w="100" w:type="dxa"/>
              <w:left w:w="140" w:type="dxa"/>
              <w:bottom w:w="100" w:type="dxa"/>
              <w:right w:w="140" w:type="dxa"/>
            </w:tcMar>
          </w:tcPr>
          <w:p w14:paraId="49CDFCDB" w14:textId="77777777" w:rsidR="009E139C" w:rsidRDefault="003D45ED">
            <w:pPr>
              <w:spacing w:line="260" w:lineRule="auto"/>
            </w:pPr>
            <w:r>
              <w:rPr>
                <w:sz w:val="20"/>
                <w:szCs w:val="20"/>
              </w:rPr>
              <w:t>Typically thousands–millions of examples</w:t>
            </w:r>
          </w:p>
        </w:tc>
      </w:tr>
      <w:tr w:rsidR="009E139C" w14:paraId="772FBCBE" w14:textId="77777777">
        <w:tblPrEx>
          <w:tblCellMar>
            <w:top w:w="0" w:type="dxa"/>
            <w:bottom w:w="0" w:type="dxa"/>
          </w:tblCellMar>
        </w:tblPrEx>
        <w:tc>
          <w:tcPr>
            <w:tcW w:w="2200" w:type="dxa"/>
            <w:tcBorders>
              <w:top w:val="single" w:sz="4" w:space="0" w:color="AAAAAA"/>
              <w:left w:val="single" w:sz="4" w:space="0" w:color="AAAAAA"/>
              <w:bottom w:val="single" w:sz="4" w:space="0" w:color="AAAAAA"/>
              <w:right w:val="single" w:sz="4" w:space="0" w:color="AAAAAA"/>
            </w:tcBorders>
            <w:tcMar>
              <w:top w:w="100" w:type="dxa"/>
              <w:left w:w="140" w:type="dxa"/>
              <w:bottom w:w="100" w:type="dxa"/>
              <w:right w:w="140" w:type="dxa"/>
            </w:tcMar>
          </w:tcPr>
          <w:p w14:paraId="4DBF0000" w14:textId="77777777" w:rsidR="009E139C" w:rsidRDefault="003D45ED">
            <w:pPr>
              <w:spacing w:line="260" w:lineRule="auto"/>
            </w:pPr>
            <w:r>
              <w:rPr>
                <w:b/>
                <w:bCs/>
                <w:sz w:val="20"/>
                <w:szCs w:val="20"/>
              </w:rPr>
              <w:t>Transfer</w:t>
            </w:r>
          </w:p>
        </w:tc>
        <w:tc>
          <w:tcPr>
            <w:tcW w:w="3300" w:type="dxa"/>
            <w:tcBorders>
              <w:top w:val="single" w:sz="4" w:space="0" w:color="AAAAAA"/>
              <w:left w:val="single" w:sz="4" w:space="0" w:color="AAAAAA"/>
              <w:bottom w:val="single" w:sz="4" w:space="0" w:color="AAAAAA"/>
              <w:right w:val="single" w:sz="4" w:space="0" w:color="AAAAAA"/>
            </w:tcBorders>
            <w:tcMar>
              <w:top w:w="100" w:type="dxa"/>
              <w:left w:w="140" w:type="dxa"/>
              <w:bottom w:w="100" w:type="dxa"/>
              <w:right w:w="140" w:type="dxa"/>
            </w:tcMar>
          </w:tcPr>
          <w:p w14:paraId="336FD7BE" w14:textId="77777777" w:rsidR="009E139C" w:rsidRDefault="003D45ED">
            <w:pPr>
              <w:spacing w:line="260" w:lineRule="auto"/>
            </w:pPr>
            <w:r>
              <w:rPr>
                <w:sz w:val="20"/>
                <w:szCs w:val="20"/>
              </w:rPr>
              <w:t>Fluid across domains</w:t>
            </w:r>
          </w:p>
        </w:tc>
        <w:tc>
          <w:tcPr>
            <w:tcW w:w="3860" w:type="dxa"/>
            <w:tcBorders>
              <w:top w:val="single" w:sz="4" w:space="0" w:color="AAAAAA"/>
              <w:left w:val="single" w:sz="4" w:space="0" w:color="AAAAAA"/>
              <w:bottom w:val="single" w:sz="4" w:space="0" w:color="AAAAAA"/>
              <w:right w:val="single" w:sz="4" w:space="0" w:color="AAAAAA"/>
            </w:tcBorders>
            <w:tcMar>
              <w:top w:w="100" w:type="dxa"/>
              <w:left w:w="140" w:type="dxa"/>
              <w:bottom w:w="100" w:type="dxa"/>
              <w:right w:w="140" w:type="dxa"/>
            </w:tcMar>
          </w:tcPr>
          <w:p w14:paraId="64B46266" w14:textId="77777777" w:rsidR="009E139C" w:rsidRDefault="003D45ED">
            <w:pPr>
              <w:spacing w:line="260" w:lineRule="auto"/>
            </w:pPr>
            <w:r>
              <w:rPr>
                <w:sz w:val="20"/>
                <w:szCs w:val="20"/>
              </w:rPr>
              <w:t>Limited; usually domain-specific</w:t>
            </w:r>
          </w:p>
        </w:tc>
      </w:tr>
      <w:tr w:rsidR="009E139C" w14:paraId="1D2ED9CA" w14:textId="77777777">
        <w:tblPrEx>
          <w:tblCellMar>
            <w:top w:w="0" w:type="dxa"/>
            <w:bottom w:w="0" w:type="dxa"/>
          </w:tblCellMar>
        </w:tblPrEx>
        <w:tc>
          <w:tcPr>
            <w:tcW w:w="2200" w:type="dxa"/>
            <w:tcBorders>
              <w:top w:val="single" w:sz="4" w:space="0" w:color="AAAAAA"/>
              <w:left w:val="single" w:sz="4" w:space="0" w:color="AAAAAA"/>
              <w:bottom w:val="single" w:sz="4" w:space="0" w:color="AAAAAA"/>
              <w:right w:val="single" w:sz="4" w:space="0" w:color="AAAAAA"/>
            </w:tcBorders>
            <w:tcMar>
              <w:top w:w="100" w:type="dxa"/>
              <w:left w:w="140" w:type="dxa"/>
              <w:bottom w:w="100" w:type="dxa"/>
              <w:right w:w="140" w:type="dxa"/>
            </w:tcMar>
          </w:tcPr>
          <w:p w14:paraId="7D68AF1E" w14:textId="77777777" w:rsidR="009E139C" w:rsidRDefault="003D45ED">
            <w:pPr>
              <w:spacing w:line="260" w:lineRule="auto"/>
            </w:pPr>
            <w:r>
              <w:rPr>
                <w:b/>
                <w:bCs/>
                <w:sz w:val="20"/>
                <w:szCs w:val="20"/>
              </w:rPr>
              <w:t>Energy</w:t>
            </w:r>
          </w:p>
        </w:tc>
        <w:tc>
          <w:tcPr>
            <w:tcW w:w="3300" w:type="dxa"/>
            <w:tcBorders>
              <w:top w:val="single" w:sz="4" w:space="0" w:color="AAAAAA"/>
              <w:left w:val="single" w:sz="4" w:space="0" w:color="AAAAAA"/>
              <w:bottom w:val="single" w:sz="4" w:space="0" w:color="AAAAAA"/>
              <w:right w:val="single" w:sz="4" w:space="0" w:color="AAAAAA"/>
            </w:tcBorders>
            <w:tcMar>
              <w:top w:w="100" w:type="dxa"/>
              <w:left w:w="140" w:type="dxa"/>
              <w:bottom w:w="100" w:type="dxa"/>
              <w:right w:w="140" w:type="dxa"/>
            </w:tcMar>
          </w:tcPr>
          <w:p w14:paraId="341319E5" w14:textId="77777777" w:rsidR="009E139C" w:rsidRDefault="003D45ED">
            <w:pPr>
              <w:spacing w:line="260" w:lineRule="auto"/>
            </w:pPr>
            <w:r>
              <w:rPr>
                <w:sz w:val="20"/>
                <w:szCs w:val="20"/>
              </w:rPr>
              <w:t>~20 W total brain power</w:t>
            </w:r>
          </w:p>
        </w:tc>
        <w:tc>
          <w:tcPr>
            <w:tcW w:w="3860" w:type="dxa"/>
            <w:tcBorders>
              <w:top w:val="single" w:sz="4" w:space="0" w:color="AAAAAA"/>
              <w:left w:val="single" w:sz="4" w:space="0" w:color="AAAAAA"/>
              <w:bottom w:val="single" w:sz="4" w:space="0" w:color="AAAAAA"/>
              <w:right w:val="single" w:sz="4" w:space="0" w:color="AAAAAA"/>
            </w:tcBorders>
            <w:tcMar>
              <w:top w:w="100" w:type="dxa"/>
              <w:left w:w="140" w:type="dxa"/>
              <w:bottom w:w="100" w:type="dxa"/>
              <w:right w:w="140" w:type="dxa"/>
            </w:tcMar>
          </w:tcPr>
          <w:p w14:paraId="5BD533BE" w14:textId="77777777" w:rsidR="009E139C" w:rsidRDefault="003D45ED">
            <w:pPr>
              <w:spacing w:line="260" w:lineRule="auto"/>
            </w:pPr>
            <w:r>
              <w:rPr>
                <w:sz w:val="20"/>
                <w:szCs w:val="20"/>
              </w:rPr>
              <w:t>Training GPT-4: ~1,000–15,000 metric tons CO₂-eq</w:t>
            </w:r>
          </w:p>
        </w:tc>
      </w:tr>
      <w:tr w:rsidR="009E139C" w14:paraId="28BB3FC2" w14:textId="77777777">
        <w:tblPrEx>
          <w:tblCellMar>
            <w:top w:w="0" w:type="dxa"/>
            <w:bottom w:w="0" w:type="dxa"/>
          </w:tblCellMar>
        </w:tblPrEx>
        <w:tc>
          <w:tcPr>
            <w:tcW w:w="2200" w:type="dxa"/>
            <w:tcBorders>
              <w:top w:val="single" w:sz="4" w:space="0" w:color="AAAAAA"/>
              <w:left w:val="single" w:sz="4" w:space="0" w:color="AAAAAA"/>
              <w:bottom w:val="single" w:sz="4" w:space="0" w:color="AAAAAA"/>
              <w:right w:val="single" w:sz="4" w:space="0" w:color="AAAAAA"/>
            </w:tcBorders>
            <w:tcMar>
              <w:top w:w="100" w:type="dxa"/>
              <w:left w:w="140" w:type="dxa"/>
              <w:bottom w:w="100" w:type="dxa"/>
              <w:right w:w="140" w:type="dxa"/>
            </w:tcMar>
          </w:tcPr>
          <w:p w14:paraId="2965E517" w14:textId="77777777" w:rsidR="009E139C" w:rsidRDefault="003D45ED">
            <w:pPr>
              <w:spacing w:line="260" w:lineRule="auto"/>
            </w:pPr>
            <w:r>
              <w:rPr>
                <w:b/>
                <w:bCs/>
                <w:sz w:val="20"/>
                <w:szCs w:val="20"/>
              </w:rPr>
              <w:t>Continual learning</w:t>
            </w:r>
          </w:p>
        </w:tc>
        <w:tc>
          <w:tcPr>
            <w:tcW w:w="3300" w:type="dxa"/>
            <w:tcBorders>
              <w:top w:val="single" w:sz="4" w:space="0" w:color="AAAAAA"/>
              <w:left w:val="single" w:sz="4" w:space="0" w:color="AAAAAA"/>
              <w:bottom w:val="single" w:sz="4" w:space="0" w:color="AAAAAA"/>
              <w:right w:val="single" w:sz="4" w:space="0" w:color="AAAAAA"/>
            </w:tcBorders>
            <w:tcMar>
              <w:top w:w="100" w:type="dxa"/>
              <w:left w:w="140" w:type="dxa"/>
              <w:bottom w:w="100" w:type="dxa"/>
              <w:right w:w="140" w:type="dxa"/>
            </w:tcMar>
          </w:tcPr>
          <w:p w14:paraId="45125A81" w14:textId="77777777" w:rsidR="009E139C" w:rsidRDefault="003D45ED">
            <w:pPr>
              <w:spacing w:line="260" w:lineRule="auto"/>
            </w:pPr>
            <w:r>
              <w:rPr>
                <w:sz w:val="20"/>
                <w:szCs w:val="20"/>
              </w:rPr>
              <w:t>Gradual forgetting; new skills coexist with old</w:t>
            </w:r>
          </w:p>
        </w:tc>
        <w:tc>
          <w:tcPr>
            <w:tcW w:w="3860" w:type="dxa"/>
            <w:tcBorders>
              <w:top w:val="single" w:sz="4" w:space="0" w:color="AAAAAA"/>
              <w:left w:val="single" w:sz="4" w:space="0" w:color="AAAAAA"/>
              <w:bottom w:val="single" w:sz="4" w:space="0" w:color="AAAAAA"/>
              <w:right w:val="single" w:sz="4" w:space="0" w:color="AAAAAA"/>
            </w:tcBorders>
            <w:tcMar>
              <w:top w:w="100" w:type="dxa"/>
              <w:left w:w="140" w:type="dxa"/>
              <w:bottom w:w="100" w:type="dxa"/>
              <w:right w:w="140" w:type="dxa"/>
            </w:tcMar>
          </w:tcPr>
          <w:p w14:paraId="6C26D4B6" w14:textId="77777777" w:rsidR="009E139C" w:rsidRDefault="003D45ED">
            <w:pPr>
              <w:spacing w:line="260" w:lineRule="auto"/>
            </w:pPr>
            <w:r>
              <w:rPr>
                <w:sz w:val="20"/>
                <w:szCs w:val="20"/>
              </w:rPr>
              <w:t>Catastrophic forgetting unless specifically engineered</w:t>
            </w:r>
          </w:p>
        </w:tc>
      </w:tr>
      <w:tr w:rsidR="009E139C" w14:paraId="3F64FB05" w14:textId="77777777">
        <w:tblPrEx>
          <w:tblCellMar>
            <w:top w:w="0" w:type="dxa"/>
            <w:bottom w:w="0" w:type="dxa"/>
          </w:tblCellMar>
        </w:tblPrEx>
        <w:tc>
          <w:tcPr>
            <w:tcW w:w="2200" w:type="dxa"/>
            <w:tcBorders>
              <w:top w:val="single" w:sz="4" w:space="0" w:color="AAAAAA"/>
              <w:left w:val="single" w:sz="4" w:space="0" w:color="AAAAAA"/>
              <w:bottom w:val="single" w:sz="4" w:space="0" w:color="AAAAAA"/>
              <w:right w:val="single" w:sz="4" w:space="0" w:color="AAAAAA"/>
            </w:tcBorders>
            <w:tcMar>
              <w:top w:w="100" w:type="dxa"/>
              <w:left w:w="140" w:type="dxa"/>
              <w:bottom w:w="100" w:type="dxa"/>
              <w:right w:w="140" w:type="dxa"/>
            </w:tcMar>
          </w:tcPr>
          <w:p w14:paraId="3289AFD9" w14:textId="77777777" w:rsidR="009E139C" w:rsidRDefault="003D45ED">
            <w:pPr>
              <w:spacing w:line="260" w:lineRule="auto"/>
            </w:pPr>
            <w:r>
              <w:rPr>
                <w:b/>
                <w:bCs/>
                <w:sz w:val="20"/>
                <w:szCs w:val="20"/>
              </w:rPr>
              <w:t>Motivation</w:t>
            </w:r>
          </w:p>
        </w:tc>
        <w:tc>
          <w:tcPr>
            <w:tcW w:w="3300" w:type="dxa"/>
            <w:tcBorders>
              <w:top w:val="single" w:sz="4" w:space="0" w:color="AAAAAA"/>
              <w:left w:val="single" w:sz="4" w:space="0" w:color="AAAAAA"/>
              <w:bottom w:val="single" w:sz="4" w:space="0" w:color="AAAAAA"/>
              <w:right w:val="single" w:sz="4" w:space="0" w:color="AAAAAA"/>
            </w:tcBorders>
            <w:tcMar>
              <w:top w:w="100" w:type="dxa"/>
              <w:left w:w="140" w:type="dxa"/>
              <w:bottom w:w="100" w:type="dxa"/>
              <w:right w:w="140" w:type="dxa"/>
            </w:tcMar>
          </w:tcPr>
          <w:p w14:paraId="672BDE6A" w14:textId="77777777" w:rsidR="009E139C" w:rsidRDefault="003D45ED">
            <w:pPr>
              <w:spacing w:line="260" w:lineRule="auto"/>
            </w:pPr>
            <w:r>
              <w:rPr>
                <w:sz w:val="20"/>
                <w:szCs w:val="20"/>
              </w:rPr>
              <w:t>Intrinsic curiosity, social goals, emotion</w:t>
            </w:r>
          </w:p>
        </w:tc>
        <w:tc>
          <w:tcPr>
            <w:tcW w:w="3860" w:type="dxa"/>
            <w:tcBorders>
              <w:top w:val="single" w:sz="4" w:space="0" w:color="AAAAAA"/>
              <w:left w:val="single" w:sz="4" w:space="0" w:color="AAAAAA"/>
              <w:bottom w:val="single" w:sz="4" w:space="0" w:color="AAAAAA"/>
              <w:right w:val="single" w:sz="4" w:space="0" w:color="AAAAAA"/>
            </w:tcBorders>
            <w:tcMar>
              <w:top w:w="100" w:type="dxa"/>
              <w:left w:w="140" w:type="dxa"/>
              <w:bottom w:w="100" w:type="dxa"/>
              <w:right w:w="140" w:type="dxa"/>
            </w:tcMar>
          </w:tcPr>
          <w:p w14:paraId="19006665" w14:textId="77777777" w:rsidR="009E139C" w:rsidRDefault="003D45ED">
            <w:pPr>
              <w:spacing w:line="260" w:lineRule="auto"/>
            </w:pPr>
            <w:r>
              <w:rPr>
                <w:sz w:val="20"/>
                <w:szCs w:val="20"/>
              </w:rPr>
              <w:t>Externally specified objective function</w:t>
            </w:r>
          </w:p>
        </w:tc>
      </w:tr>
      <w:tr w:rsidR="009E139C" w14:paraId="02007A5A" w14:textId="77777777">
        <w:tblPrEx>
          <w:tblCellMar>
            <w:top w:w="0" w:type="dxa"/>
            <w:bottom w:w="0" w:type="dxa"/>
          </w:tblCellMar>
        </w:tblPrEx>
        <w:tc>
          <w:tcPr>
            <w:tcW w:w="2200" w:type="dxa"/>
            <w:tcBorders>
              <w:top w:val="single" w:sz="4" w:space="0" w:color="AAAAAA"/>
              <w:left w:val="single" w:sz="4" w:space="0" w:color="AAAAAA"/>
              <w:bottom w:val="single" w:sz="4" w:space="0" w:color="AAAAAA"/>
              <w:right w:val="single" w:sz="4" w:space="0" w:color="AAAAAA"/>
            </w:tcBorders>
            <w:tcMar>
              <w:top w:w="100" w:type="dxa"/>
              <w:left w:w="140" w:type="dxa"/>
              <w:bottom w:w="100" w:type="dxa"/>
              <w:right w:w="140" w:type="dxa"/>
            </w:tcMar>
          </w:tcPr>
          <w:p w14:paraId="1FFECFDA" w14:textId="77777777" w:rsidR="009E139C" w:rsidRDefault="003D45ED">
            <w:pPr>
              <w:spacing w:line="260" w:lineRule="auto"/>
            </w:pPr>
            <w:r>
              <w:rPr>
                <w:b/>
                <w:bCs/>
                <w:sz w:val="20"/>
                <w:szCs w:val="20"/>
              </w:rPr>
              <w:t>Embodiment</w:t>
            </w:r>
          </w:p>
        </w:tc>
        <w:tc>
          <w:tcPr>
            <w:tcW w:w="3300" w:type="dxa"/>
            <w:tcBorders>
              <w:top w:val="single" w:sz="4" w:space="0" w:color="AAAAAA"/>
              <w:left w:val="single" w:sz="4" w:space="0" w:color="AAAAAA"/>
              <w:bottom w:val="single" w:sz="4" w:space="0" w:color="AAAAAA"/>
              <w:right w:val="single" w:sz="4" w:space="0" w:color="AAAAAA"/>
            </w:tcBorders>
            <w:tcMar>
              <w:top w:w="100" w:type="dxa"/>
              <w:left w:w="140" w:type="dxa"/>
              <w:bottom w:w="100" w:type="dxa"/>
              <w:right w:w="140" w:type="dxa"/>
            </w:tcMar>
          </w:tcPr>
          <w:p w14:paraId="0D789A4B" w14:textId="77777777" w:rsidR="009E139C" w:rsidRDefault="003D45ED">
            <w:pPr>
              <w:spacing w:line="260" w:lineRule="auto"/>
            </w:pPr>
            <w:r>
              <w:rPr>
                <w:sz w:val="20"/>
                <w:szCs w:val="20"/>
              </w:rPr>
              <w:t>Sensorimotor, social, cultural grounding</w:t>
            </w:r>
          </w:p>
        </w:tc>
        <w:tc>
          <w:tcPr>
            <w:tcW w:w="3860" w:type="dxa"/>
            <w:tcBorders>
              <w:top w:val="single" w:sz="4" w:space="0" w:color="AAAAAA"/>
              <w:left w:val="single" w:sz="4" w:space="0" w:color="AAAAAA"/>
              <w:bottom w:val="single" w:sz="4" w:space="0" w:color="AAAAAA"/>
              <w:right w:val="single" w:sz="4" w:space="0" w:color="AAAAAA"/>
            </w:tcBorders>
            <w:tcMar>
              <w:top w:w="100" w:type="dxa"/>
              <w:left w:w="140" w:type="dxa"/>
              <w:bottom w:w="100" w:type="dxa"/>
              <w:right w:w="140" w:type="dxa"/>
            </w:tcMar>
          </w:tcPr>
          <w:p w14:paraId="66C3D648" w14:textId="77777777" w:rsidR="009E139C" w:rsidRDefault="003D45ED">
            <w:pPr>
              <w:spacing w:line="260" w:lineRule="auto"/>
            </w:pPr>
            <w:r>
              <w:rPr>
                <w:sz w:val="20"/>
                <w:szCs w:val="20"/>
              </w:rPr>
              <w:t>Disembodied; meaning derives from statistical patterns</w:t>
            </w:r>
          </w:p>
        </w:tc>
      </w:tr>
    </w:tbl>
    <w:p w14:paraId="67627B47" w14:textId="77777777" w:rsidR="009E139C" w:rsidRDefault="009E139C">
      <w:pPr>
        <w:spacing w:after="120"/>
      </w:pPr>
    </w:p>
    <w:p w14:paraId="48202F8E" w14:textId="77777777" w:rsidR="009E139C" w:rsidRDefault="003D45ED">
      <w:pPr>
        <w:pStyle w:val="Heading1"/>
        <w:spacing w:before="280" w:after="160"/>
      </w:pPr>
      <w:r>
        <w:t>8. Initial framing of the explainability problem</w:t>
      </w:r>
    </w:p>
    <w:p w14:paraId="15CD467C" w14:textId="77777777" w:rsidR="009E139C" w:rsidRDefault="003D45ED">
      <w:pPr>
        <w:spacing w:after="160" w:line="300" w:lineRule="auto"/>
        <w:jc w:val="both"/>
      </w:pPr>
      <w:r>
        <w:t>We are now in a position to see why explainability is hard.</w:t>
      </w:r>
    </w:p>
    <w:p w14:paraId="7F15CC19" w14:textId="77777777" w:rsidR="009E139C" w:rsidRDefault="003D45ED">
      <w:pPr>
        <w:spacing w:after="160" w:line="300" w:lineRule="auto"/>
        <w:jc w:val="both"/>
      </w:pPr>
      <w:r>
        <w:rPr>
          <w:b/>
          <w:bCs/>
        </w:rPr>
        <w:t>Modern AI systems are usually opaque</w:t>
      </w:r>
      <w:r>
        <w:t xml:space="preserve">, both because deep networks distribute their “knowledge” across millions of weights and because the data and design choices behind them are often proprietary. </w:t>
      </w:r>
      <w:r>
        <w:rPr>
          <w:b/>
          <w:bCs/>
        </w:rPr>
        <w:t>They differ from human cognition in ways that make folk-psychological explanations misleading</w:t>
      </w:r>
      <w:r>
        <w:t xml:space="preserve">: when a model “decides” to deny a loan, it is not weighing reasons the way a banker would; it is computing a function. </w:t>
      </w:r>
      <w:r>
        <w:rPr>
          <w:b/>
          <w:bCs/>
        </w:rPr>
        <w:t>And the people affected by these decisions are diverse</w:t>
      </w:r>
      <w:r>
        <w:t>, with very different informational needs.</w:t>
      </w:r>
    </w:p>
    <w:p w14:paraId="0243DF1C" w14:textId="77777777" w:rsidR="009E139C" w:rsidRDefault="003D45ED">
      <w:pPr>
        <w:spacing w:after="160" w:line="300" w:lineRule="auto"/>
        <w:jc w:val="both"/>
      </w:pPr>
      <w:r>
        <w:t xml:space="preserve">The field of </w:t>
      </w:r>
      <w:r>
        <w:rPr>
          <w:b/>
          <w:bCs/>
        </w:rPr>
        <w:t>Explainable Artificial Intelligence (XAI)</w:t>
      </w:r>
      <w:r>
        <w:t xml:space="preserve"> has grown rapidly in response. Doshi-Velez and Kim offer a usefully terse definition: interpretability is “the ability to explain or to present in understandable terms to a human”.</w:t>
      </w:r>
      <w:r>
        <w:rPr>
          <w:rStyle w:val="FootnoteReference"/>
        </w:rPr>
        <w:footnoteReference w:id="26"/>
      </w:r>
      <w:r>
        <w:t xml:space="preserve"> The DARPA XAI programme, surveyed by Gunning and Aha, frames the goal as creating “AI systems whose learned models and decisions can be understood and appropriately trusted by end users”, which in turn requires “methods for learning more explainable models, designing effective explanation interfaces, and understanding the psychological requirements for effective explanations”.</w:t>
      </w:r>
      <w:r>
        <w:rPr>
          <w:rStyle w:val="FootnoteReference"/>
        </w:rPr>
        <w:footnoteReference w:id="27"/>
      </w:r>
      <w:r>
        <w:t xml:space="preserve"> Surveys by Barredo Arrieta and colleagues, by Angelov and colleagues, and most recently by Mersha and colleagues map the rapidly proliferating taxonomy of techniques: model-specific vs. model-agnostic, local vs. global, intrinsic vs. post-hoc.</w:t>
      </w:r>
      <w:r>
        <w:rPr>
          <w:rStyle w:val="FootnoteReference"/>
        </w:rPr>
        <w:footnoteReference w:id="28"/>
      </w:r>
      <w:r>
        <w:t xml:space="preserve"> You will meet these distinctions formally in Sessions 2 and 3; for now, the key conceptual point is that </w:t>
      </w:r>
      <w:r>
        <w:rPr>
          <w:b/>
          <w:bCs/>
        </w:rPr>
        <w:t>interpretability is a property of a system plus an audience</w:t>
      </w:r>
      <w:r>
        <w:t xml:space="preserve"> — a SHAP plot that satisfies a data scientist may baffle a loan applicant.</w:t>
      </w:r>
    </w:p>
    <w:p w14:paraId="00D2EAC0" w14:textId="77777777" w:rsidR="009E139C" w:rsidRDefault="003D45ED">
      <w:pPr>
        <w:spacing w:after="160" w:line="300" w:lineRule="auto"/>
        <w:jc w:val="both"/>
      </w:pPr>
      <w:r>
        <w:t xml:space="preserve">Christoph Molnar’s freely-available textbook </w:t>
      </w:r>
      <w:r>
        <w:rPr>
          <w:i/>
          <w:iCs/>
        </w:rPr>
        <w:t>Interpretable Machine Learning</w:t>
      </w:r>
      <w:r>
        <w:t xml:space="preserve"> organises this landscape pedagogically and is the recommended technical companion to this course;</w:t>
      </w:r>
      <w:r>
        <w:rPr>
          <w:rStyle w:val="FootnoteReference"/>
        </w:rPr>
        <w:footnoteReference w:id="29"/>
      </w:r>
      <w:r>
        <w:t xml:space="preserve"> Lavelle-Hill and colleagues’ recent handbook in </w:t>
      </w:r>
      <w:r>
        <w:rPr>
          <w:i/>
          <w:iCs/>
        </w:rPr>
        <w:t>Psychological Methods</w:t>
      </w:r>
      <w:r>
        <w:t xml:space="preserve"> does the same for behavioural scientists.</w:t>
      </w:r>
      <w:r>
        <w:rPr>
          <w:rStyle w:val="FootnoteReference"/>
        </w:rPr>
        <w:footnoteReference w:id="30"/>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E139C" w14:paraId="12BD7126" w14:textId="77777777">
        <w:tblPrEx>
          <w:tblCellMar>
            <w:top w:w="0" w:type="dxa"/>
            <w:bottom w:w="0" w:type="dxa"/>
          </w:tblCellMar>
        </w:tblPrEx>
        <w:tc>
          <w:tcPr>
            <w:tcW w:w="9360" w:type="dxa"/>
            <w:tcBorders>
              <w:top w:val="single" w:sz="4" w:space="0" w:color="BFBFBF"/>
              <w:left w:val="single" w:sz="4" w:space="0" w:color="BFBFBF"/>
              <w:bottom w:val="single" w:sz="4" w:space="0" w:color="BFBFBF"/>
              <w:right w:val="single" w:sz="4" w:space="0" w:color="BFBFBF"/>
            </w:tcBorders>
            <w:shd w:val="clear" w:color="auto" w:fill="F2F2F2"/>
            <w:tcMar>
              <w:top w:w="160" w:type="dxa"/>
              <w:left w:w="200" w:type="dxa"/>
              <w:bottom w:w="160" w:type="dxa"/>
              <w:right w:w="200" w:type="dxa"/>
            </w:tcMar>
          </w:tcPr>
          <w:p w14:paraId="692B205F" w14:textId="77777777" w:rsidR="003D45ED" w:rsidRDefault="003D45ED" w:rsidP="003D45ED">
            <w:pPr>
              <w:spacing w:line="280" w:lineRule="auto"/>
              <w:rPr>
                <w:i/>
                <w:iCs/>
                <w:sz w:val="20"/>
                <w:szCs w:val="20"/>
              </w:rPr>
            </w:pPr>
            <w:r w:rsidRPr="003D45ED">
              <w:rPr>
                <w:i/>
                <w:iCs/>
                <w:sz w:val="20"/>
                <w:szCs w:val="20"/>
                <w:highlight w:val="yellow"/>
              </w:rPr>
              <w:t>= to be done by attendees =</w:t>
            </w:r>
          </w:p>
          <w:p w14:paraId="3684765C" w14:textId="791F904C" w:rsidR="009E139C" w:rsidRDefault="003D45ED">
            <w:pPr>
              <w:spacing w:line="280" w:lineRule="auto"/>
            </w:pPr>
            <w:r>
              <w:rPr>
                <w:i/>
                <w:iCs/>
                <w:sz w:val="20"/>
                <w:szCs w:val="20"/>
              </w:rPr>
              <w:t>Figure 4. The interpretability spectrum. A horizontal bar shaded from light (left) to dark (right). Left end labelled “Transparent / Intrinsically Interpretable” and populated with: linear regression, logistic regression, single decision tree, simple rule list. Middle: generalised additive models, shallow random forests. Right end labelled “Opaque / Black Box”: gradient-boosted ensembles, deep neural networks, large language models. Above the bar, an arrow labelled “Typically more accurate on complex unstru</w:t>
            </w:r>
            <w:r>
              <w:rPr>
                <w:i/>
                <w:iCs/>
                <w:sz w:val="20"/>
                <w:szCs w:val="20"/>
              </w:rPr>
              <w:t>ctured data →”; below, an arrow labelled “← Typically easier to audit and contest”. The figure visualises the central trade-off discussed by Rudin and others, while also reminding the reader that the trade-off is not a law of nature.</w:t>
            </w:r>
          </w:p>
        </w:tc>
      </w:tr>
    </w:tbl>
    <w:p w14:paraId="08AA7B5A" w14:textId="77777777" w:rsidR="009E139C" w:rsidRDefault="003D45ED">
      <w:pPr>
        <w:pStyle w:val="Heading1"/>
        <w:spacing w:before="280" w:after="160"/>
      </w:pPr>
      <w:r>
        <w:t>9. Stakeholder perspectives: who needs what kind of explanation?</w:t>
      </w:r>
    </w:p>
    <w:p w14:paraId="0F4AD62F" w14:textId="77777777" w:rsidR="009E139C" w:rsidRDefault="003D45ED">
      <w:pPr>
        <w:spacing w:after="160" w:line="300" w:lineRule="auto"/>
        <w:jc w:val="both"/>
      </w:pPr>
      <w:r>
        <w:t>Explainability is not a single technical problem. Different stakeholders need different things:</w:t>
      </w:r>
    </w:p>
    <w:p w14:paraId="45077C2D" w14:textId="77777777" w:rsidR="009E139C" w:rsidRDefault="003D45ED">
      <w:pPr>
        <w:spacing w:before="200" w:after="100"/>
      </w:pPr>
      <w:r>
        <w:rPr>
          <w:i/>
          <w:iCs/>
          <w:sz w:val="20"/>
          <w:szCs w:val="20"/>
        </w:rPr>
        <w:t>Table 3. Stakeholder needs in AI explainability.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2300"/>
        <w:gridCol w:w="2700"/>
        <w:gridCol w:w="2460"/>
      </w:tblGrid>
      <w:tr w:rsidR="009E139C" w14:paraId="4F988102" w14:textId="77777777">
        <w:tblPrEx>
          <w:tblCellMar>
            <w:top w:w="0" w:type="dxa"/>
            <w:bottom w:w="0" w:type="dxa"/>
          </w:tblCellMar>
        </w:tblPrEx>
        <w:trPr>
          <w:tblHeader/>
        </w:trPr>
        <w:tc>
          <w:tcPr>
            <w:tcW w:w="1900" w:type="dxa"/>
            <w:tcBorders>
              <w:top w:val="single" w:sz="4" w:space="0" w:color="AAAAAA"/>
              <w:left w:val="single" w:sz="4" w:space="0" w:color="AAAAAA"/>
              <w:bottom w:val="single" w:sz="4" w:space="0" w:color="AAAAAA"/>
              <w:right w:val="single" w:sz="4" w:space="0" w:color="AAAAAA"/>
            </w:tcBorders>
            <w:shd w:val="clear" w:color="auto" w:fill="D5E8F0"/>
            <w:tcMar>
              <w:top w:w="100" w:type="dxa"/>
              <w:left w:w="140" w:type="dxa"/>
              <w:bottom w:w="100" w:type="dxa"/>
              <w:right w:w="140" w:type="dxa"/>
            </w:tcMar>
          </w:tcPr>
          <w:p w14:paraId="4B339F8A" w14:textId="77777777" w:rsidR="009E139C" w:rsidRDefault="003D45ED">
            <w:pPr>
              <w:spacing w:line="260" w:lineRule="auto"/>
            </w:pPr>
            <w:r>
              <w:rPr>
                <w:b/>
                <w:bCs/>
                <w:sz w:val="18"/>
                <w:szCs w:val="18"/>
              </w:rPr>
              <w:t>Stakeholder</w:t>
            </w:r>
          </w:p>
        </w:tc>
        <w:tc>
          <w:tcPr>
            <w:tcW w:w="2300" w:type="dxa"/>
            <w:tcBorders>
              <w:top w:val="single" w:sz="4" w:space="0" w:color="AAAAAA"/>
              <w:left w:val="single" w:sz="4" w:space="0" w:color="AAAAAA"/>
              <w:bottom w:val="single" w:sz="4" w:space="0" w:color="AAAAAA"/>
              <w:right w:val="single" w:sz="4" w:space="0" w:color="AAAAAA"/>
            </w:tcBorders>
            <w:shd w:val="clear" w:color="auto" w:fill="D5E8F0"/>
            <w:tcMar>
              <w:top w:w="100" w:type="dxa"/>
              <w:left w:w="140" w:type="dxa"/>
              <w:bottom w:w="100" w:type="dxa"/>
              <w:right w:w="140" w:type="dxa"/>
            </w:tcMar>
          </w:tcPr>
          <w:p w14:paraId="167C5F21" w14:textId="77777777" w:rsidR="009E139C" w:rsidRDefault="003D45ED">
            <w:pPr>
              <w:spacing w:line="260" w:lineRule="auto"/>
            </w:pPr>
            <w:r>
              <w:rPr>
                <w:b/>
                <w:bCs/>
                <w:sz w:val="18"/>
                <w:szCs w:val="18"/>
              </w:rPr>
              <w:t>Typical question</w:t>
            </w:r>
          </w:p>
        </w:tc>
        <w:tc>
          <w:tcPr>
            <w:tcW w:w="2700" w:type="dxa"/>
            <w:tcBorders>
              <w:top w:val="single" w:sz="4" w:space="0" w:color="AAAAAA"/>
              <w:left w:val="single" w:sz="4" w:space="0" w:color="AAAAAA"/>
              <w:bottom w:val="single" w:sz="4" w:space="0" w:color="AAAAAA"/>
              <w:right w:val="single" w:sz="4" w:space="0" w:color="AAAAAA"/>
            </w:tcBorders>
            <w:shd w:val="clear" w:color="auto" w:fill="D5E8F0"/>
            <w:tcMar>
              <w:top w:w="100" w:type="dxa"/>
              <w:left w:w="140" w:type="dxa"/>
              <w:bottom w:w="100" w:type="dxa"/>
              <w:right w:w="140" w:type="dxa"/>
            </w:tcMar>
          </w:tcPr>
          <w:p w14:paraId="3C5A4157" w14:textId="77777777" w:rsidR="009E139C" w:rsidRDefault="003D45ED">
            <w:pPr>
              <w:spacing w:line="260" w:lineRule="auto"/>
            </w:pPr>
            <w:r>
              <w:rPr>
                <w:b/>
                <w:bCs/>
                <w:sz w:val="18"/>
                <w:szCs w:val="18"/>
              </w:rPr>
              <w:t>What they need from an explanation</w:t>
            </w:r>
          </w:p>
        </w:tc>
        <w:tc>
          <w:tcPr>
            <w:tcW w:w="2460" w:type="dxa"/>
            <w:tcBorders>
              <w:top w:val="single" w:sz="4" w:space="0" w:color="AAAAAA"/>
              <w:left w:val="single" w:sz="4" w:space="0" w:color="AAAAAA"/>
              <w:bottom w:val="single" w:sz="4" w:space="0" w:color="AAAAAA"/>
              <w:right w:val="single" w:sz="4" w:space="0" w:color="AAAAAA"/>
            </w:tcBorders>
            <w:shd w:val="clear" w:color="auto" w:fill="D5E8F0"/>
            <w:tcMar>
              <w:top w:w="100" w:type="dxa"/>
              <w:left w:w="140" w:type="dxa"/>
              <w:bottom w:w="100" w:type="dxa"/>
              <w:right w:w="140" w:type="dxa"/>
            </w:tcMar>
          </w:tcPr>
          <w:p w14:paraId="6D8983F7" w14:textId="77777777" w:rsidR="009E139C" w:rsidRDefault="003D45ED">
            <w:pPr>
              <w:spacing w:line="260" w:lineRule="auto"/>
            </w:pPr>
            <w:r>
              <w:rPr>
                <w:b/>
                <w:bCs/>
                <w:sz w:val="18"/>
                <w:szCs w:val="18"/>
              </w:rPr>
              <w:t>Useful artefacts</w:t>
            </w:r>
          </w:p>
        </w:tc>
      </w:tr>
      <w:tr w:rsidR="009E139C" w14:paraId="49475228" w14:textId="77777777">
        <w:tblPrEx>
          <w:tblCellMar>
            <w:top w:w="0" w:type="dxa"/>
            <w:bottom w:w="0" w:type="dxa"/>
          </w:tblCellMar>
        </w:tblPrEx>
        <w:tc>
          <w:tcPr>
            <w:tcW w:w="1900" w:type="dxa"/>
            <w:tcBorders>
              <w:top w:val="single" w:sz="4" w:space="0" w:color="AAAAAA"/>
              <w:left w:val="single" w:sz="4" w:space="0" w:color="AAAAAA"/>
              <w:bottom w:val="single" w:sz="4" w:space="0" w:color="AAAAAA"/>
              <w:right w:val="single" w:sz="4" w:space="0" w:color="AAAAAA"/>
            </w:tcBorders>
            <w:tcMar>
              <w:top w:w="100" w:type="dxa"/>
              <w:left w:w="140" w:type="dxa"/>
              <w:bottom w:w="100" w:type="dxa"/>
              <w:right w:w="140" w:type="dxa"/>
            </w:tcMar>
          </w:tcPr>
          <w:p w14:paraId="289A0152" w14:textId="77777777" w:rsidR="009E139C" w:rsidRDefault="003D45ED">
            <w:pPr>
              <w:spacing w:line="260" w:lineRule="auto"/>
            </w:pPr>
            <w:r>
              <w:rPr>
                <w:b/>
                <w:bCs/>
                <w:sz w:val="18"/>
                <w:szCs w:val="18"/>
              </w:rPr>
              <w:t>Affected individual (loan applicant, patient, defendant)</w:t>
            </w:r>
          </w:p>
        </w:tc>
        <w:tc>
          <w:tcPr>
            <w:tcW w:w="2300" w:type="dxa"/>
            <w:tcBorders>
              <w:top w:val="single" w:sz="4" w:space="0" w:color="AAAAAA"/>
              <w:left w:val="single" w:sz="4" w:space="0" w:color="AAAAAA"/>
              <w:bottom w:val="single" w:sz="4" w:space="0" w:color="AAAAAA"/>
              <w:right w:val="single" w:sz="4" w:space="0" w:color="AAAAAA"/>
            </w:tcBorders>
            <w:tcMar>
              <w:top w:w="100" w:type="dxa"/>
              <w:left w:w="140" w:type="dxa"/>
              <w:bottom w:w="100" w:type="dxa"/>
              <w:right w:w="140" w:type="dxa"/>
            </w:tcMar>
          </w:tcPr>
          <w:p w14:paraId="3731673A" w14:textId="77777777" w:rsidR="009E139C" w:rsidRDefault="003D45ED">
            <w:pPr>
              <w:spacing w:line="260" w:lineRule="auto"/>
            </w:pPr>
            <w:r>
              <w:rPr>
                <w:sz w:val="18"/>
                <w:szCs w:val="18"/>
              </w:rPr>
              <w:t>“Why was this decision made about me, and how can I change it?”</w:t>
            </w:r>
          </w:p>
        </w:tc>
        <w:tc>
          <w:tcPr>
            <w:tcW w:w="2700" w:type="dxa"/>
            <w:tcBorders>
              <w:top w:val="single" w:sz="4" w:space="0" w:color="AAAAAA"/>
              <w:left w:val="single" w:sz="4" w:space="0" w:color="AAAAAA"/>
              <w:bottom w:val="single" w:sz="4" w:space="0" w:color="AAAAAA"/>
              <w:right w:val="single" w:sz="4" w:space="0" w:color="AAAAAA"/>
            </w:tcBorders>
            <w:tcMar>
              <w:top w:w="100" w:type="dxa"/>
              <w:left w:w="140" w:type="dxa"/>
              <w:bottom w:w="100" w:type="dxa"/>
              <w:right w:w="140" w:type="dxa"/>
            </w:tcMar>
          </w:tcPr>
          <w:p w14:paraId="7D51FE00" w14:textId="77777777" w:rsidR="009E139C" w:rsidRDefault="003D45ED">
            <w:pPr>
              <w:spacing w:line="260" w:lineRule="auto"/>
            </w:pPr>
            <w:r>
              <w:rPr>
                <w:sz w:val="18"/>
                <w:szCs w:val="18"/>
              </w:rPr>
              <w:t>A short, contestable, counterfactual reason in plain language</w:t>
            </w:r>
          </w:p>
        </w:tc>
        <w:tc>
          <w:tcPr>
            <w:tcW w:w="2460" w:type="dxa"/>
            <w:tcBorders>
              <w:top w:val="single" w:sz="4" w:space="0" w:color="AAAAAA"/>
              <w:left w:val="single" w:sz="4" w:space="0" w:color="AAAAAA"/>
              <w:bottom w:val="single" w:sz="4" w:space="0" w:color="AAAAAA"/>
              <w:right w:val="single" w:sz="4" w:space="0" w:color="AAAAAA"/>
            </w:tcBorders>
            <w:tcMar>
              <w:top w:w="100" w:type="dxa"/>
              <w:left w:w="140" w:type="dxa"/>
              <w:bottom w:w="100" w:type="dxa"/>
              <w:right w:w="140" w:type="dxa"/>
            </w:tcMar>
          </w:tcPr>
          <w:p w14:paraId="4D8A2F59" w14:textId="77777777" w:rsidR="009E139C" w:rsidRDefault="003D45ED">
            <w:pPr>
              <w:spacing w:line="260" w:lineRule="auto"/>
            </w:pPr>
            <w:r>
              <w:rPr>
                <w:sz w:val="18"/>
                <w:szCs w:val="18"/>
              </w:rPr>
              <w:t>Counterfactual statements, reason codes, appeal route</w:t>
            </w:r>
          </w:p>
        </w:tc>
      </w:tr>
      <w:tr w:rsidR="009E139C" w14:paraId="6D75BA1A" w14:textId="77777777">
        <w:tblPrEx>
          <w:tblCellMar>
            <w:top w:w="0" w:type="dxa"/>
            <w:bottom w:w="0" w:type="dxa"/>
          </w:tblCellMar>
        </w:tblPrEx>
        <w:tc>
          <w:tcPr>
            <w:tcW w:w="1900" w:type="dxa"/>
            <w:tcBorders>
              <w:top w:val="single" w:sz="4" w:space="0" w:color="AAAAAA"/>
              <w:left w:val="single" w:sz="4" w:space="0" w:color="AAAAAA"/>
              <w:bottom w:val="single" w:sz="4" w:space="0" w:color="AAAAAA"/>
              <w:right w:val="single" w:sz="4" w:space="0" w:color="AAAAAA"/>
            </w:tcBorders>
            <w:tcMar>
              <w:top w:w="100" w:type="dxa"/>
              <w:left w:w="140" w:type="dxa"/>
              <w:bottom w:w="100" w:type="dxa"/>
              <w:right w:w="140" w:type="dxa"/>
            </w:tcMar>
          </w:tcPr>
          <w:p w14:paraId="5027A6CA" w14:textId="77777777" w:rsidR="009E139C" w:rsidRDefault="003D45ED">
            <w:pPr>
              <w:spacing w:line="260" w:lineRule="auto"/>
            </w:pPr>
            <w:r>
              <w:rPr>
                <w:b/>
                <w:bCs/>
                <w:sz w:val="18"/>
                <w:szCs w:val="18"/>
              </w:rPr>
              <w:t>Front-line professional (clinician, HR officer, caseworker)</w:t>
            </w:r>
          </w:p>
        </w:tc>
        <w:tc>
          <w:tcPr>
            <w:tcW w:w="2300" w:type="dxa"/>
            <w:tcBorders>
              <w:top w:val="single" w:sz="4" w:space="0" w:color="AAAAAA"/>
              <w:left w:val="single" w:sz="4" w:space="0" w:color="AAAAAA"/>
              <w:bottom w:val="single" w:sz="4" w:space="0" w:color="AAAAAA"/>
              <w:right w:val="single" w:sz="4" w:space="0" w:color="AAAAAA"/>
            </w:tcBorders>
            <w:tcMar>
              <w:top w:w="100" w:type="dxa"/>
              <w:left w:w="140" w:type="dxa"/>
              <w:bottom w:w="100" w:type="dxa"/>
              <w:right w:w="140" w:type="dxa"/>
            </w:tcMar>
          </w:tcPr>
          <w:p w14:paraId="1C36808E" w14:textId="77777777" w:rsidR="009E139C" w:rsidRDefault="003D45ED">
            <w:pPr>
              <w:spacing w:line="260" w:lineRule="auto"/>
            </w:pPr>
            <w:r>
              <w:rPr>
                <w:sz w:val="18"/>
                <w:szCs w:val="18"/>
              </w:rPr>
              <w:t>“Should I trust this output for this case?”</w:t>
            </w:r>
          </w:p>
        </w:tc>
        <w:tc>
          <w:tcPr>
            <w:tcW w:w="2700" w:type="dxa"/>
            <w:tcBorders>
              <w:top w:val="single" w:sz="4" w:space="0" w:color="AAAAAA"/>
              <w:left w:val="single" w:sz="4" w:space="0" w:color="AAAAAA"/>
              <w:bottom w:val="single" w:sz="4" w:space="0" w:color="AAAAAA"/>
              <w:right w:val="single" w:sz="4" w:space="0" w:color="AAAAAA"/>
            </w:tcBorders>
            <w:tcMar>
              <w:top w:w="100" w:type="dxa"/>
              <w:left w:w="140" w:type="dxa"/>
              <w:bottom w:w="100" w:type="dxa"/>
              <w:right w:w="140" w:type="dxa"/>
            </w:tcMar>
          </w:tcPr>
          <w:p w14:paraId="71EE9403" w14:textId="77777777" w:rsidR="009E139C" w:rsidRDefault="003D45ED">
            <w:pPr>
              <w:spacing w:line="260" w:lineRule="auto"/>
            </w:pPr>
            <w:r>
              <w:rPr>
                <w:sz w:val="18"/>
                <w:szCs w:val="18"/>
              </w:rPr>
              <w:t>Confidence calibration, known failure modes, comparable past cases</w:t>
            </w:r>
          </w:p>
        </w:tc>
        <w:tc>
          <w:tcPr>
            <w:tcW w:w="2460" w:type="dxa"/>
            <w:tcBorders>
              <w:top w:val="single" w:sz="4" w:space="0" w:color="AAAAAA"/>
              <w:left w:val="single" w:sz="4" w:space="0" w:color="AAAAAA"/>
              <w:bottom w:val="single" w:sz="4" w:space="0" w:color="AAAAAA"/>
              <w:right w:val="single" w:sz="4" w:space="0" w:color="AAAAAA"/>
            </w:tcBorders>
            <w:tcMar>
              <w:top w:w="100" w:type="dxa"/>
              <w:left w:w="140" w:type="dxa"/>
              <w:bottom w:w="100" w:type="dxa"/>
              <w:right w:w="140" w:type="dxa"/>
            </w:tcMar>
          </w:tcPr>
          <w:p w14:paraId="68B11B6B" w14:textId="77777777" w:rsidR="009E139C" w:rsidRDefault="003D45ED">
            <w:pPr>
              <w:spacing w:line="260" w:lineRule="auto"/>
            </w:pPr>
            <w:r>
              <w:rPr>
                <w:sz w:val="18"/>
                <w:szCs w:val="18"/>
              </w:rPr>
              <w:t>Calibration plots, similar-case retrieval, override logs</w:t>
            </w:r>
          </w:p>
        </w:tc>
      </w:tr>
      <w:tr w:rsidR="009E139C" w14:paraId="54DD086C" w14:textId="77777777">
        <w:tblPrEx>
          <w:tblCellMar>
            <w:top w:w="0" w:type="dxa"/>
            <w:bottom w:w="0" w:type="dxa"/>
          </w:tblCellMar>
        </w:tblPrEx>
        <w:tc>
          <w:tcPr>
            <w:tcW w:w="1900" w:type="dxa"/>
            <w:tcBorders>
              <w:top w:val="single" w:sz="4" w:space="0" w:color="AAAAAA"/>
              <w:left w:val="single" w:sz="4" w:space="0" w:color="AAAAAA"/>
              <w:bottom w:val="single" w:sz="4" w:space="0" w:color="AAAAAA"/>
              <w:right w:val="single" w:sz="4" w:space="0" w:color="AAAAAA"/>
            </w:tcBorders>
            <w:tcMar>
              <w:top w:w="100" w:type="dxa"/>
              <w:left w:w="140" w:type="dxa"/>
              <w:bottom w:w="100" w:type="dxa"/>
              <w:right w:w="140" w:type="dxa"/>
            </w:tcMar>
          </w:tcPr>
          <w:p w14:paraId="5871564E" w14:textId="77777777" w:rsidR="009E139C" w:rsidRDefault="003D45ED">
            <w:pPr>
              <w:spacing w:line="260" w:lineRule="auto"/>
            </w:pPr>
            <w:r>
              <w:rPr>
                <w:b/>
                <w:bCs/>
                <w:sz w:val="18"/>
                <w:szCs w:val="18"/>
              </w:rPr>
              <w:t>Compliance officer / internal auditor</w:t>
            </w:r>
          </w:p>
        </w:tc>
        <w:tc>
          <w:tcPr>
            <w:tcW w:w="2300" w:type="dxa"/>
            <w:tcBorders>
              <w:top w:val="single" w:sz="4" w:space="0" w:color="AAAAAA"/>
              <w:left w:val="single" w:sz="4" w:space="0" w:color="AAAAAA"/>
              <w:bottom w:val="single" w:sz="4" w:space="0" w:color="AAAAAA"/>
              <w:right w:val="single" w:sz="4" w:space="0" w:color="AAAAAA"/>
            </w:tcBorders>
            <w:tcMar>
              <w:top w:w="100" w:type="dxa"/>
              <w:left w:w="140" w:type="dxa"/>
              <w:bottom w:w="100" w:type="dxa"/>
              <w:right w:w="140" w:type="dxa"/>
            </w:tcMar>
          </w:tcPr>
          <w:p w14:paraId="0F08C6AE" w14:textId="77777777" w:rsidR="009E139C" w:rsidRDefault="003D45ED">
            <w:pPr>
              <w:spacing w:line="260" w:lineRule="auto"/>
            </w:pPr>
            <w:r>
              <w:rPr>
                <w:sz w:val="18"/>
                <w:szCs w:val="18"/>
              </w:rPr>
              <w:t>“Does this system meet our legal and policy obligations?”</w:t>
            </w:r>
          </w:p>
        </w:tc>
        <w:tc>
          <w:tcPr>
            <w:tcW w:w="2700" w:type="dxa"/>
            <w:tcBorders>
              <w:top w:val="single" w:sz="4" w:space="0" w:color="AAAAAA"/>
              <w:left w:val="single" w:sz="4" w:space="0" w:color="AAAAAA"/>
              <w:bottom w:val="single" w:sz="4" w:space="0" w:color="AAAAAA"/>
              <w:right w:val="single" w:sz="4" w:space="0" w:color="AAAAAA"/>
            </w:tcBorders>
            <w:tcMar>
              <w:top w:w="100" w:type="dxa"/>
              <w:left w:w="140" w:type="dxa"/>
              <w:bottom w:w="100" w:type="dxa"/>
              <w:right w:w="140" w:type="dxa"/>
            </w:tcMar>
          </w:tcPr>
          <w:p w14:paraId="5EBABA9B" w14:textId="77777777" w:rsidR="009E139C" w:rsidRDefault="003D45ED">
            <w:pPr>
              <w:spacing w:line="260" w:lineRule="auto"/>
            </w:pPr>
            <w:r>
              <w:rPr>
                <w:sz w:val="18"/>
                <w:szCs w:val="18"/>
              </w:rPr>
              <w:t>Documentation of data, training, validation, monitoring</w:t>
            </w:r>
          </w:p>
        </w:tc>
        <w:tc>
          <w:tcPr>
            <w:tcW w:w="2460" w:type="dxa"/>
            <w:tcBorders>
              <w:top w:val="single" w:sz="4" w:space="0" w:color="AAAAAA"/>
              <w:left w:val="single" w:sz="4" w:space="0" w:color="AAAAAA"/>
              <w:bottom w:val="single" w:sz="4" w:space="0" w:color="AAAAAA"/>
              <w:right w:val="single" w:sz="4" w:space="0" w:color="AAAAAA"/>
            </w:tcBorders>
            <w:tcMar>
              <w:top w:w="100" w:type="dxa"/>
              <w:left w:w="140" w:type="dxa"/>
              <w:bottom w:w="100" w:type="dxa"/>
              <w:right w:w="140" w:type="dxa"/>
            </w:tcMar>
          </w:tcPr>
          <w:p w14:paraId="3C95AB65" w14:textId="77777777" w:rsidR="009E139C" w:rsidRDefault="003D45ED">
            <w:pPr>
              <w:spacing w:line="260" w:lineRule="auto"/>
            </w:pPr>
            <w:r>
              <w:rPr>
                <w:sz w:val="18"/>
                <w:szCs w:val="18"/>
              </w:rPr>
              <w:t>Model cards, datasheets, fairness audits</w:t>
            </w:r>
          </w:p>
        </w:tc>
      </w:tr>
      <w:tr w:rsidR="009E139C" w14:paraId="6ED9ACC4" w14:textId="77777777">
        <w:tblPrEx>
          <w:tblCellMar>
            <w:top w:w="0" w:type="dxa"/>
            <w:bottom w:w="0" w:type="dxa"/>
          </w:tblCellMar>
        </w:tblPrEx>
        <w:tc>
          <w:tcPr>
            <w:tcW w:w="1900" w:type="dxa"/>
            <w:tcBorders>
              <w:top w:val="single" w:sz="4" w:space="0" w:color="AAAAAA"/>
              <w:left w:val="single" w:sz="4" w:space="0" w:color="AAAAAA"/>
              <w:bottom w:val="single" w:sz="4" w:space="0" w:color="AAAAAA"/>
              <w:right w:val="single" w:sz="4" w:space="0" w:color="AAAAAA"/>
            </w:tcBorders>
            <w:tcMar>
              <w:top w:w="100" w:type="dxa"/>
              <w:left w:w="140" w:type="dxa"/>
              <w:bottom w:w="100" w:type="dxa"/>
              <w:right w:w="140" w:type="dxa"/>
            </w:tcMar>
          </w:tcPr>
          <w:p w14:paraId="3E99030E" w14:textId="77777777" w:rsidR="009E139C" w:rsidRDefault="003D45ED">
            <w:pPr>
              <w:spacing w:line="260" w:lineRule="auto"/>
            </w:pPr>
            <w:r>
              <w:rPr>
                <w:b/>
                <w:bCs/>
                <w:sz w:val="18"/>
                <w:szCs w:val="18"/>
              </w:rPr>
              <w:t>External regulator</w:t>
            </w:r>
          </w:p>
        </w:tc>
        <w:tc>
          <w:tcPr>
            <w:tcW w:w="2300" w:type="dxa"/>
            <w:tcBorders>
              <w:top w:val="single" w:sz="4" w:space="0" w:color="AAAAAA"/>
              <w:left w:val="single" w:sz="4" w:space="0" w:color="AAAAAA"/>
              <w:bottom w:val="single" w:sz="4" w:space="0" w:color="AAAAAA"/>
              <w:right w:val="single" w:sz="4" w:space="0" w:color="AAAAAA"/>
            </w:tcBorders>
            <w:tcMar>
              <w:top w:w="100" w:type="dxa"/>
              <w:left w:w="140" w:type="dxa"/>
              <w:bottom w:w="100" w:type="dxa"/>
              <w:right w:w="140" w:type="dxa"/>
            </w:tcMar>
          </w:tcPr>
          <w:p w14:paraId="0F17188A" w14:textId="77777777" w:rsidR="009E139C" w:rsidRDefault="003D45ED">
            <w:pPr>
              <w:spacing w:line="260" w:lineRule="auto"/>
            </w:pPr>
            <w:r>
              <w:rPr>
                <w:sz w:val="18"/>
                <w:szCs w:val="18"/>
              </w:rPr>
              <w:t>“Can the firm demonstrate accountability and remedy?”</w:t>
            </w:r>
          </w:p>
        </w:tc>
        <w:tc>
          <w:tcPr>
            <w:tcW w:w="2700" w:type="dxa"/>
            <w:tcBorders>
              <w:top w:val="single" w:sz="4" w:space="0" w:color="AAAAAA"/>
              <w:left w:val="single" w:sz="4" w:space="0" w:color="AAAAAA"/>
              <w:bottom w:val="single" w:sz="4" w:space="0" w:color="AAAAAA"/>
              <w:right w:val="single" w:sz="4" w:space="0" w:color="AAAAAA"/>
            </w:tcBorders>
            <w:tcMar>
              <w:top w:w="100" w:type="dxa"/>
              <w:left w:w="140" w:type="dxa"/>
              <w:bottom w:w="100" w:type="dxa"/>
              <w:right w:w="140" w:type="dxa"/>
            </w:tcMar>
          </w:tcPr>
          <w:p w14:paraId="0415218E" w14:textId="77777777" w:rsidR="009E139C" w:rsidRDefault="003D45ED">
            <w:pPr>
              <w:spacing w:line="260" w:lineRule="auto"/>
            </w:pPr>
            <w:r>
              <w:rPr>
                <w:sz w:val="18"/>
                <w:szCs w:val="18"/>
              </w:rPr>
              <w:t>Conformity assessment, incident reporting, technical documentation</w:t>
            </w:r>
          </w:p>
        </w:tc>
        <w:tc>
          <w:tcPr>
            <w:tcW w:w="2460" w:type="dxa"/>
            <w:tcBorders>
              <w:top w:val="single" w:sz="4" w:space="0" w:color="AAAAAA"/>
              <w:left w:val="single" w:sz="4" w:space="0" w:color="AAAAAA"/>
              <w:bottom w:val="single" w:sz="4" w:space="0" w:color="AAAAAA"/>
              <w:right w:val="single" w:sz="4" w:space="0" w:color="AAAAAA"/>
            </w:tcBorders>
            <w:tcMar>
              <w:top w:w="100" w:type="dxa"/>
              <w:left w:w="140" w:type="dxa"/>
              <w:bottom w:w="100" w:type="dxa"/>
              <w:right w:w="140" w:type="dxa"/>
            </w:tcMar>
          </w:tcPr>
          <w:p w14:paraId="39B4F9A3" w14:textId="77777777" w:rsidR="009E139C" w:rsidRDefault="003D45ED">
            <w:pPr>
              <w:spacing w:line="260" w:lineRule="auto"/>
            </w:pPr>
            <w:r>
              <w:rPr>
                <w:sz w:val="18"/>
                <w:szCs w:val="18"/>
              </w:rPr>
              <w:t>EU AI Act Annex IV documents, post-market monitoring</w:t>
            </w:r>
          </w:p>
        </w:tc>
      </w:tr>
      <w:tr w:rsidR="009E139C" w14:paraId="17A8A576" w14:textId="77777777">
        <w:tblPrEx>
          <w:tblCellMar>
            <w:top w:w="0" w:type="dxa"/>
            <w:bottom w:w="0" w:type="dxa"/>
          </w:tblCellMar>
        </w:tblPrEx>
        <w:tc>
          <w:tcPr>
            <w:tcW w:w="1900" w:type="dxa"/>
            <w:tcBorders>
              <w:top w:val="single" w:sz="4" w:space="0" w:color="AAAAAA"/>
              <w:left w:val="single" w:sz="4" w:space="0" w:color="AAAAAA"/>
              <w:bottom w:val="single" w:sz="4" w:space="0" w:color="AAAAAA"/>
              <w:right w:val="single" w:sz="4" w:space="0" w:color="AAAAAA"/>
            </w:tcBorders>
            <w:tcMar>
              <w:top w:w="100" w:type="dxa"/>
              <w:left w:w="140" w:type="dxa"/>
              <w:bottom w:w="100" w:type="dxa"/>
              <w:right w:w="140" w:type="dxa"/>
            </w:tcMar>
          </w:tcPr>
          <w:p w14:paraId="2FC5D124" w14:textId="77777777" w:rsidR="009E139C" w:rsidRDefault="003D45ED">
            <w:pPr>
              <w:spacing w:line="260" w:lineRule="auto"/>
            </w:pPr>
            <w:r>
              <w:rPr>
                <w:b/>
                <w:bCs/>
                <w:sz w:val="18"/>
                <w:szCs w:val="18"/>
              </w:rPr>
              <w:t>Developer / data scientist</w:t>
            </w:r>
          </w:p>
        </w:tc>
        <w:tc>
          <w:tcPr>
            <w:tcW w:w="2300" w:type="dxa"/>
            <w:tcBorders>
              <w:top w:val="single" w:sz="4" w:space="0" w:color="AAAAAA"/>
              <w:left w:val="single" w:sz="4" w:space="0" w:color="AAAAAA"/>
              <w:bottom w:val="single" w:sz="4" w:space="0" w:color="AAAAAA"/>
              <w:right w:val="single" w:sz="4" w:space="0" w:color="AAAAAA"/>
            </w:tcBorders>
            <w:tcMar>
              <w:top w:w="100" w:type="dxa"/>
              <w:left w:w="140" w:type="dxa"/>
              <w:bottom w:w="100" w:type="dxa"/>
              <w:right w:w="140" w:type="dxa"/>
            </w:tcMar>
          </w:tcPr>
          <w:p w14:paraId="52F52852" w14:textId="77777777" w:rsidR="009E139C" w:rsidRDefault="003D45ED">
            <w:pPr>
              <w:spacing w:line="260" w:lineRule="auto"/>
            </w:pPr>
            <w:r>
              <w:rPr>
                <w:sz w:val="18"/>
                <w:szCs w:val="18"/>
              </w:rPr>
              <w:t>“Why is the model behaving this way and how do I fix it?”</w:t>
            </w:r>
          </w:p>
        </w:tc>
        <w:tc>
          <w:tcPr>
            <w:tcW w:w="2700" w:type="dxa"/>
            <w:tcBorders>
              <w:top w:val="single" w:sz="4" w:space="0" w:color="AAAAAA"/>
              <w:left w:val="single" w:sz="4" w:space="0" w:color="AAAAAA"/>
              <w:bottom w:val="single" w:sz="4" w:space="0" w:color="AAAAAA"/>
              <w:right w:val="single" w:sz="4" w:space="0" w:color="AAAAAA"/>
            </w:tcBorders>
            <w:tcMar>
              <w:top w:w="100" w:type="dxa"/>
              <w:left w:w="140" w:type="dxa"/>
              <w:bottom w:w="100" w:type="dxa"/>
              <w:right w:w="140" w:type="dxa"/>
            </w:tcMar>
          </w:tcPr>
          <w:p w14:paraId="2218AE41" w14:textId="77777777" w:rsidR="009E139C" w:rsidRDefault="003D45ED">
            <w:pPr>
              <w:spacing w:line="260" w:lineRule="auto"/>
            </w:pPr>
            <w:r>
              <w:rPr>
                <w:sz w:val="18"/>
                <w:szCs w:val="18"/>
              </w:rPr>
              <w:t>Feature importances, error analysis, ablation tests</w:t>
            </w:r>
          </w:p>
        </w:tc>
        <w:tc>
          <w:tcPr>
            <w:tcW w:w="2460" w:type="dxa"/>
            <w:tcBorders>
              <w:top w:val="single" w:sz="4" w:space="0" w:color="AAAAAA"/>
              <w:left w:val="single" w:sz="4" w:space="0" w:color="AAAAAA"/>
              <w:bottom w:val="single" w:sz="4" w:space="0" w:color="AAAAAA"/>
              <w:right w:val="single" w:sz="4" w:space="0" w:color="AAAAAA"/>
            </w:tcBorders>
            <w:tcMar>
              <w:top w:w="100" w:type="dxa"/>
              <w:left w:w="140" w:type="dxa"/>
              <w:bottom w:w="100" w:type="dxa"/>
              <w:right w:w="140" w:type="dxa"/>
            </w:tcMar>
          </w:tcPr>
          <w:p w14:paraId="27E1ACA3" w14:textId="77777777" w:rsidR="009E139C" w:rsidRDefault="003D45ED">
            <w:pPr>
              <w:spacing w:line="260" w:lineRule="auto"/>
            </w:pPr>
            <w:r>
              <w:rPr>
                <w:sz w:val="18"/>
                <w:szCs w:val="18"/>
              </w:rPr>
              <w:t>SHAP/LIME, partial dependence plots, counterfactual debugging</w:t>
            </w:r>
          </w:p>
        </w:tc>
      </w:tr>
      <w:tr w:rsidR="009E139C" w14:paraId="1F9194EC" w14:textId="77777777">
        <w:tblPrEx>
          <w:tblCellMar>
            <w:top w:w="0" w:type="dxa"/>
            <w:bottom w:w="0" w:type="dxa"/>
          </w:tblCellMar>
        </w:tblPrEx>
        <w:tc>
          <w:tcPr>
            <w:tcW w:w="1900" w:type="dxa"/>
            <w:tcBorders>
              <w:top w:val="single" w:sz="4" w:space="0" w:color="AAAAAA"/>
              <w:left w:val="single" w:sz="4" w:space="0" w:color="AAAAAA"/>
              <w:bottom w:val="single" w:sz="4" w:space="0" w:color="AAAAAA"/>
              <w:right w:val="single" w:sz="4" w:space="0" w:color="AAAAAA"/>
            </w:tcBorders>
            <w:tcMar>
              <w:top w:w="100" w:type="dxa"/>
              <w:left w:w="140" w:type="dxa"/>
              <w:bottom w:w="100" w:type="dxa"/>
              <w:right w:w="140" w:type="dxa"/>
            </w:tcMar>
          </w:tcPr>
          <w:p w14:paraId="3BE054D8" w14:textId="77777777" w:rsidR="009E139C" w:rsidRDefault="003D45ED">
            <w:pPr>
              <w:spacing w:line="260" w:lineRule="auto"/>
            </w:pPr>
            <w:r>
              <w:rPr>
                <w:b/>
                <w:bCs/>
                <w:sz w:val="18"/>
                <w:szCs w:val="18"/>
              </w:rPr>
              <w:t>Affected community / civil society</w:t>
            </w:r>
          </w:p>
        </w:tc>
        <w:tc>
          <w:tcPr>
            <w:tcW w:w="2300" w:type="dxa"/>
            <w:tcBorders>
              <w:top w:val="single" w:sz="4" w:space="0" w:color="AAAAAA"/>
              <w:left w:val="single" w:sz="4" w:space="0" w:color="AAAAAA"/>
              <w:bottom w:val="single" w:sz="4" w:space="0" w:color="AAAAAA"/>
              <w:right w:val="single" w:sz="4" w:space="0" w:color="AAAAAA"/>
            </w:tcBorders>
            <w:tcMar>
              <w:top w:w="100" w:type="dxa"/>
              <w:left w:w="140" w:type="dxa"/>
              <w:bottom w:w="100" w:type="dxa"/>
              <w:right w:w="140" w:type="dxa"/>
            </w:tcMar>
          </w:tcPr>
          <w:p w14:paraId="2823A60E" w14:textId="77777777" w:rsidR="009E139C" w:rsidRDefault="003D45ED">
            <w:pPr>
              <w:spacing w:line="260" w:lineRule="auto"/>
            </w:pPr>
            <w:r>
              <w:rPr>
                <w:sz w:val="18"/>
                <w:szCs w:val="18"/>
              </w:rPr>
              <w:t>“Are people like us being treated fairly in aggregate?”</w:t>
            </w:r>
          </w:p>
        </w:tc>
        <w:tc>
          <w:tcPr>
            <w:tcW w:w="2700" w:type="dxa"/>
            <w:tcBorders>
              <w:top w:val="single" w:sz="4" w:space="0" w:color="AAAAAA"/>
              <w:left w:val="single" w:sz="4" w:space="0" w:color="AAAAAA"/>
              <w:bottom w:val="single" w:sz="4" w:space="0" w:color="AAAAAA"/>
              <w:right w:val="single" w:sz="4" w:space="0" w:color="AAAAAA"/>
            </w:tcBorders>
            <w:tcMar>
              <w:top w:w="100" w:type="dxa"/>
              <w:left w:w="140" w:type="dxa"/>
              <w:bottom w:w="100" w:type="dxa"/>
              <w:right w:w="140" w:type="dxa"/>
            </w:tcMar>
          </w:tcPr>
          <w:p w14:paraId="7AA63AC7" w14:textId="77777777" w:rsidR="009E139C" w:rsidRDefault="003D45ED">
            <w:pPr>
              <w:spacing w:line="260" w:lineRule="auto"/>
            </w:pPr>
            <w:r>
              <w:rPr>
                <w:sz w:val="18"/>
                <w:szCs w:val="18"/>
              </w:rPr>
              <w:t>Disaggregated performance and harm statistics</w:t>
            </w:r>
          </w:p>
        </w:tc>
        <w:tc>
          <w:tcPr>
            <w:tcW w:w="2460" w:type="dxa"/>
            <w:tcBorders>
              <w:top w:val="single" w:sz="4" w:space="0" w:color="AAAAAA"/>
              <w:left w:val="single" w:sz="4" w:space="0" w:color="AAAAAA"/>
              <w:bottom w:val="single" w:sz="4" w:space="0" w:color="AAAAAA"/>
              <w:right w:val="single" w:sz="4" w:space="0" w:color="AAAAAA"/>
            </w:tcBorders>
            <w:tcMar>
              <w:top w:w="100" w:type="dxa"/>
              <w:left w:w="140" w:type="dxa"/>
              <w:bottom w:w="100" w:type="dxa"/>
              <w:right w:w="140" w:type="dxa"/>
            </w:tcMar>
          </w:tcPr>
          <w:p w14:paraId="5629E060" w14:textId="77777777" w:rsidR="009E139C" w:rsidRDefault="003D45ED">
            <w:pPr>
              <w:spacing w:line="260" w:lineRule="auto"/>
            </w:pPr>
            <w:r>
              <w:rPr>
                <w:sz w:val="18"/>
                <w:szCs w:val="18"/>
              </w:rPr>
              <w:t>Disparity audits, public model cards, third-party red-teaming</w:t>
            </w:r>
          </w:p>
        </w:tc>
      </w:tr>
      <w:tr w:rsidR="009E139C" w14:paraId="18174028" w14:textId="77777777">
        <w:tblPrEx>
          <w:tblCellMar>
            <w:top w:w="0" w:type="dxa"/>
            <w:bottom w:w="0" w:type="dxa"/>
          </w:tblCellMar>
        </w:tblPrEx>
        <w:tc>
          <w:tcPr>
            <w:tcW w:w="1900" w:type="dxa"/>
            <w:tcBorders>
              <w:top w:val="single" w:sz="4" w:space="0" w:color="AAAAAA"/>
              <w:left w:val="single" w:sz="4" w:space="0" w:color="AAAAAA"/>
              <w:bottom w:val="single" w:sz="4" w:space="0" w:color="AAAAAA"/>
              <w:right w:val="single" w:sz="4" w:space="0" w:color="AAAAAA"/>
            </w:tcBorders>
            <w:tcMar>
              <w:top w:w="100" w:type="dxa"/>
              <w:left w:w="140" w:type="dxa"/>
              <w:bottom w:w="100" w:type="dxa"/>
              <w:right w:w="140" w:type="dxa"/>
            </w:tcMar>
          </w:tcPr>
          <w:p w14:paraId="2F0AF79B" w14:textId="77777777" w:rsidR="009E139C" w:rsidRDefault="003D45ED">
            <w:pPr>
              <w:spacing w:line="260" w:lineRule="auto"/>
            </w:pPr>
            <w:r>
              <w:rPr>
                <w:b/>
                <w:bCs/>
                <w:sz w:val="18"/>
                <w:szCs w:val="18"/>
              </w:rPr>
              <w:t>Senior executive / board</w:t>
            </w:r>
          </w:p>
        </w:tc>
        <w:tc>
          <w:tcPr>
            <w:tcW w:w="2300" w:type="dxa"/>
            <w:tcBorders>
              <w:top w:val="single" w:sz="4" w:space="0" w:color="AAAAAA"/>
              <w:left w:val="single" w:sz="4" w:space="0" w:color="AAAAAA"/>
              <w:bottom w:val="single" w:sz="4" w:space="0" w:color="AAAAAA"/>
              <w:right w:val="single" w:sz="4" w:space="0" w:color="AAAAAA"/>
            </w:tcBorders>
            <w:tcMar>
              <w:top w:w="100" w:type="dxa"/>
              <w:left w:w="140" w:type="dxa"/>
              <w:bottom w:w="100" w:type="dxa"/>
              <w:right w:w="140" w:type="dxa"/>
            </w:tcMar>
          </w:tcPr>
          <w:p w14:paraId="52C9AEED" w14:textId="77777777" w:rsidR="009E139C" w:rsidRDefault="003D45ED">
            <w:pPr>
              <w:spacing w:line="260" w:lineRule="auto"/>
            </w:pPr>
            <w:r>
              <w:rPr>
                <w:sz w:val="18"/>
                <w:szCs w:val="18"/>
              </w:rPr>
              <w:t>“What are the strategic and reputational risks?”</w:t>
            </w:r>
          </w:p>
        </w:tc>
        <w:tc>
          <w:tcPr>
            <w:tcW w:w="2700" w:type="dxa"/>
            <w:tcBorders>
              <w:top w:val="single" w:sz="4" w:space="0" w:color="AAAAAA"/>
              <w:left w:val="single" w:sz="4" w:space="0" w:color="AAAAAA"/>
              <w:bottom w:val="single" w:sz="4" w:space="0" w:color="AAAAAA"/>
              <w:right w:val="single" w:sz="4" w:space="0" w:color="AAAAAA"/>
            </w:tcBorders>
            <w:tcMar>
              <w:top w:w="100" w:type="dxa"/>
              <w:left w:w="140" w:type="dxa"/>
              <w:bottom w:w="100" w:type="dxa"/>
              <w:right w:w="140" w:type="dxa"/>
            </w:tcMar>
          </w:tcPr>
          <w:p w14:paraId="1E48AE17" w14:textId="77777777" w:rsidR="009E139C" w:rsidRDefault="003D45ED">
            <w:pPr>
              <w:spacing w:line="260" w:lineRule="auto"/>
            </w:pPr>
            <w:r>
              <w:rPr>
                <w:sz w:val="18"/>
                <w:szCs w:val="18"/>
              </w:rPr>
              <w:t>Risk register, governance structure, escalation pathways</w:t>
            </w:r>
          </w:p>
        </w:tc>
        <w:tc>
          <w:tcPr>
            <w:tcW w:w="2460" w:type="dxa"/>
            <w:tcBorders>
              <w:top w:val="single" w:sz="4" w:space="0" w:color="AAAAAA"/>
              <w:left w:val="single" w:sz="4" w:space="0" w:color="AAAAAA"/>
              <w:bottom w:val="single" w:sz="4" w:space="0" w:color="AAAAAA"/>
              <w:right w:val="single" w:sz="4" w:space="0" w:color="AAAAAA"/>
            </w:tcBorders>
            <w:tcMar>
              <w:top w:w="100" w:type="dxa"/>
              <w:left w:w="140" w:type="dxa"/>
              <w:bottom w:w="100" w:type="dxa"/>
              <w:right w:w="140" w:type="dxa"/>
            </w:tcMar>
          </w:tcPr>
          <w:p w14:paraId="654B62B9" w14:textId="77777777" w:rsidR="009E139C" w:rsidRDefault="003D45ED">
            <w:pPr>
              <w:spacing w:line="260" w:lineRule="auto"/>
            </w:pPr>
            <w:r>
              <w:rPr>
                <w:sz w:val="18"/>
                <w:szCs w:val="18"/>
              </w:rPr>
              <w:t>AI risk dashboards, board-level AI policy</w:t>
            </w:r>
          </w:p>
        </w:tc>
      </w:tr>
      <w:tr w:rsidR="009E139C" w14:paraId="77EA1E41" w14:textId="77777777">
        <w:tblPrEx>
          <w:tblCellMar>
            <w:top w:w="0" w:type="dxa"/>
            <w:bottom w:w="0" w:type="dxa"/>
          </w:tblCellMar>
        </w:tblPrEx>
        <w:tc>
          <w:tcPr>
            <w:tcW w:w="1900" w:type="dxa"/>
            <w:tcBorders>
              <w:top w:val="single" w:sz="4" w:space="0" w:color="AAAAAA"/>
              <w:left w:val="single" w:sz="4" w:space="0" w:color="AAAAAA"/>
              <w:bottom w:val="single" w:sz="4" w:space="0" w:color="AAAAAA"/>
              <w:right w:val="single" w:sz="4" w:space="0" w:color="AAAAAA"/>
            </w:tcBorders>
            <w:tcMar>
              <w:top w:w="100" w:type="dxa"/>
              <w:left w:w="140" w:type="dxa"/>
              <w:bottom w:w="100" w:type="dxa"/>
              <w:right w:w="140" w:type="dxa"/>
            </w:tcMar>
          </w:tcPr>
          <w:p w14:paraId="4F04F60D" w14:textId="77777777" w:rsidR="009E139C" w:rsidRDefault="003D45ED">
            <w:pPr>
              <w:spacing w:line="260" w:lineRule="auto"/>
            </w:pPr>
            <w:r>
              <w:rPr>
                <w:b/>
                <w:bCs/>
                <w:sz w:val="18"/>
                <w:szCs w:val="18"/>
              </w:rPr>
              <w:t>Journalist / researcher</w:t>
            </w:r>
          </w:p>
        </w:tc>
        <w:tc>
          <w:tcPr>
            <w:tcW w:w="2300" w:type="dxa"/>
            <w:tcBorders>
              <w:top w:val="single" w:sz="4" w:space="0" w:color="AAAAAA"/>
              <w:left w:val="single" w:sz="4" w:space="0" w:color="AAAAAA"/>
              <w:bottom w:val="single" w:sz="4" w:space="0" w:color="AAAAAA"/>
              <w:right w:val="single" w:sz="4" w:space="0" w:color="AAAAAA"/>
            </w:tcBorders>
            <w:tcMar>
              <w:top w:w="100" w:type="dxa"/>
              <w:left w:w="140" w:type="dxa"/>
              <w:bottom w:w="100" w:type="dxa"/>
              <w:right w:w="140" w:type="dxa"/>
            </w:tcMar>
          </w:tcPr>
          <w:p w14:paraId="0C60416B" w14:textId="77777777" w:rsidR="009E139C" w:rsidRDefault="003D45ED">
            <w:pPr>
              <w:spacing w:line="260" w:lineRule="auto"/>
            </w:pPr>
            <w:r>
              <w:rPr>
                <w:sz w:val="18"/>
                <w:szCs w:val="18"/>
              </w:rPr>
              <w:t>“Is the public claim about this system true?”</w:t>
            </w:r>
          </w:p>
        </w:tc>
        <w:tc>
          <w:tcPr>
            <w:tcW w:w="2700" w:type="dxa"/>
            <w:tcBorders>
              <w:top w:val="single" w:sz="4" w:space="0" w:color="AAAAAA"/>
              <w:left w:val="single" w:sz="4" w:space="0" w:color="AAAAAA"/>
              <w:bottom w:val="single" w:sz="4" w:space="0" w:color="AAAAAA"/>
              <w:right w:val="single" w:sz="4" w:space="0" w:color="AAAAAA"/>
            </w:tcBorders>
            <w:tcMar>
              <w:top w:w="100" w:type="dxa"/>
              <w:left w:w="140" w:type="dxa"/>
              <w:bottom w:w="100" w:type="dxa"/>
              <w:right w:w="140" w:type="dxa"/>
            </w:tcMar>
          </w:tcPr>
          <w:p w14:paraId="63BA608A" w14:textId="77777777" w:rsidR="009E139C" w:rsidRDefault="003D45ED">
            <w:pPr>
              <w:spacing w:line="260" w:lineRule="auto"/>
            </w:pPr>
            <w:r>
              <w:rPr>
                <w:sz w:val="18"/>
                <w:szCs w:val="18"/>
              </w:rPr>
              <w:t>Reproducible benchmarks, access to documentation</w:t>
            </w:r>
          </w:p>
        </w:tc>
        <w:tc>
          <w:tcPr>
            <w:tcW w:w="2460" w:type="dxa"/>
            <w:tcBorders>
              <w:top w:val="single" w:sz="4" w:space="0" w:color="AAAAAA"/>
              <w:left w:val="single" w:sz="4" w:space="0" w:color="AAAAAA"/>
              <w:bottom w:val="single" w:sz="4" w:space="0" w:color="AAAAAA"/>
              <w:right w:val="single" w:sz="4" w:space="0" w:color="AAAAAA"/>
            </w:tcBorders>
            <w:tcMar>
              <w:top w:w="100" w:type="dxa"/>
              <w:left w:w="140" w:type="dxa"/>
              <w:bottom w:w="100" w:type="dxa"/>
              <w:right w:w="140" w:type="dxa"/>
            </w:tcMar>
          </w:tcPr>
          <w:p w14:paraId="00167098" w14:textId="77777777" w:rsidR="009E139C" w:rsidRDefault="003D45ED">
            <w:pPr>
              <w:spacing w:line="260" w:lineRule="auto"/>
            </w:pPr>
            <w:r>
              <w:rPr>
                <w:sz w:val="18"/>
                <w:szCs w:val="18"/>
              </w:rPr>
              <w:t>Open evaluations, FOI-able audits</w:t>
            </w:r>
          </w:p>
        </w:tc>
      </w:tr>
    </w:tbl>
    <w:p w14:paraId="6B9795CE" w14:textId="77777777" w:rsidR="009E139C" w:rsidRDefault="009E139C">
      <w:pPr>
        <w:spacing w:after="120"/>
      </w:pPr>
    </w:p>
    <w:p w14:paraId="315AE092" w14:textId="77777777" w:rsidR="009E139C" w:rsidRDefault="003D45ED">
      <w:pPr>
        <w:spacing w:after="160" w:line="300" w:lineRule="auto"/>
        <w:jc w:val="both"/>
      </w:pPr>
      <w:r>
        <w:t>Regulation increasingly recognises this plurality. The European Union’s Artificial Intelligence Act (Regulation (EU) 2024/1689), which entered into force on 1 August 2024 and becomes fully applicable on 2 August 2026, requires that “high-risk AI systems shall be designed and developed in such a way as to ensure that their operation is sufficiently transparent to enable deployers to interpret a system’s output and use it appropriately”.</w:t>
      </w:r>
      <w:r>
        <w:rPr>
          <w:rStyle w:val="FootnoteReference"/>
        </w:rPr>
        <w:footnoteReference w:id="31"/>
      </w:r>
      <w:r>
        <w:t xml:space="preserve"> Penalties are tiered: under Article 99(3), violating the Act’s prohibitions on unacceptable-risk practices can attract administrative fines “of up to 35 000 000 EUR or, if the offender is an undertaking, up to 7% of its total worldwide annual turnover for the preceding financial year, whichever is higher”, while breaches of high-risk-system obligations carry a lower ceiling of €15 million or 3%.</w:t>
      </w:r>
      <w:r>
        <w:rPr>
          <w:rStyle w:val="FootnoteReference"/>
        </w:rPr>
        <w:footnoteReference w:id="32"/>
      </w:r>
      <w:r>
        <w:t xml:space="preserve"> Whatever one’s jurisdiction, the EU framework will increasingly set de facto global expectations, much as the GDPR did for data protection.</w:t>
      </w:r>
    </w:p>
    <w:p w14:paraId="066607B3" w14:textId="77777777" w:rsidR="009E139C" w:rsidRDefault="003D45ED">
      <w:pPr>
        <w:pStyle w:val="Heading1"/>
        <w:spacing w:before="280" w:after="160"/>
      </w:pPr>
      <w:r>
        <w:t>10. Why understanding artificial cognition matters for XAI</w:t>
      </w:r>
    </w:p>
    <w:p w14:paraId="13421C85" w14:textId="77777777" w:rsidR="009E139C" w:rsidRDefault="003D45ED">
      <w:pPr>
        <w:spacing w:after="160" w:line="300" w:lineRule="auto"/>
        <w:jc w:val="both"/>
      </w:pPr>
      <w:r>
        <w:t>We can now answer the question implicit in the course title. Why precede explainable AI with a session on artificial cognition?</w:t>
      </w:r>
    </w:p>
    <w:p w14:paraId="6A4CE086" w14:textId="77777777" w:rsidR="009E139C" w:rsidRDefault="003D45ED">
      <w:pPr>
        <w:spacing w:after="160" w:line="300" w:lineRule="auto"/>
        <w:jc w:val="both"/>
      </w:pPr>
      <w:r>
        <w:t xml:space="preserve">First, because </w:t>
      </w:r>
      <w:r>
        <w:rPr>
          <w:b/>
          <w:bCs/>
        </w:rPr>
        <w:t>the explanations that will help a stakeholder depend on what kind of cognitive system the AI actually is.</w:t>
      </w:r>
      <w:r>
        <w:t xml:space="preserve"> Asking a deep neural network “what rule did you follow?” is like asking a violinist “what algebraic expression did you compute?” — the question presupposes a different kind of cognition. Treating AI cognitively, as Taylor and Taylor urge,</w:t>
      </w:r>
      <w:r>
        <w:rPr>
          <w:rStyle w:val="FootnoteReference"/>
        </w:rPr>
        <w:footnoteReference w:id="33"/>
      </w:r>
      <w:r>
        <w:t xml:space="preserve"> equips us to ask better questions: how does the system generalise? what are its perceptual primitives? how does it forget?</w:t>
      </w:r>
    </w:p>
    <w:p w14:paraId="224E5617" w14:textId="77777777" w:rsidR="009E139C" w:rsidRDefault="003D45ED">
      <w:pPr>
        <w:spacing w:after="160" w:line="300" w:lineRule="auto"/>
        <w:jc w:val="both"/>
      </w:pPr>
      <w:r>
        <w:t xml:space="preserve">Second, because </w:t>
      </w:r>
      <w:r>
        <w:rPr>
          <w:b/>
          <w:bCs/>
        </w:rPr>
        <w:t>the differences between human and artificial cognition are themselves explanatory resources.</w:t>
      </w:r>
      <w:r>
        <w:t xml:space="preserve"> A clinician who understands that an image classifier lacks embodiment and may learn shortcuts will know to demand evidence that the model has not done so. The phenomenon is well documented in dermatology: Winkler and colleagues showed that surgical skin markings drawn near a lesion, and even the dermoscopic ruler placed beside it, systematically biased a market-approved convolutional neural network towards a melanom</w:t>
      </w:r>
      <w:r>
        <w:t>a diagnosis, sharply increasing false-positive rates.</w:t>
      </w:r>
      <w:r>
        <w:rPr>
          <w:rStyle w:val="FootnoteReference"/>
        </w:rPr>
        <w:footnoteReference w:id="34"/>
      </w:r>
      <w:r>
        <w:t xml:space="preserve"> The model had effectively learned “where there is a ruler, there is cancer” — a textbook case of cognitive opacity producing clinical risk. Likewise, a compliance officer who understands catastrophic forgetting will know to ask how a continually-retrained fraud-detection model preserves past competencies.</w:t>
      </w:r>
    </w:p>
    <w:p w14:paraId="324968ED" w14:textId="77777777" w:rsidR="009E139C" w:rsidRDefault="003D45ED">
      <w:pPr>
        <w:spacing w:after="160" w:line="300" w:lineRule="auto"/>
        <w:jc w:val="both"/>
      </w:pPr>
      <w:r>
        <w:t xml:space="preserve">Third, because </w:t>
      </w:r>
      <w:r>
        <w:rPr>
          <w:b/>
          <w:bCs/>
        </w:rPr>
        <w:t>cognitive architectures (ACT-R, SOAR, CLARION) and the symbolic / connectionist / hybrid distinction help us see that the current dominance of opaque deep networks is one possible design choice, not the only one.</w:t>
      </w:r>
      <w:r>
        <w:t xml:space="preserve"> Rudin’s call to use inherently interpretable models in high-stakes settings is, in effect, a call to revisit symbolic and hybrid traditions.</w:t>
      </w:r>
      <w:r>
        <w:rPr>
          <w:rStyle w:val="FootnoteReference"/>
        </w:rPr>
        <w:footnoteReference w:id="35"/>
      </w:r>
    </w:p>
    <w:p w14:paraId="454B2B42" w14:textId="77777777" w:rsidR="009E139C" w:rsidRDefault="003D45ED">
      <w:pPr>
        <w:spacing w:after="160" w:line="300" w:lineRule="auto"/>
        <w:jc w:val="both"/>
      </w:pPr>
      <w:r>
        <w:t xml:space="preserve">Finally, and most importantly, because </w:t>
      </w:r>
      <w:r>
        <w:rPr>
          <w:b/>
          <w:bCs/>
        </w:rPr>
        <w:t>the legitimacy of any AI deployment depends on the people affected being able to understand, contest, and where necessary refuse it.</w:t>
      </w:r>
      <w:r>
        <w:t xml:space="preserve"> That capacity cannot be outsourced to the technical team. It requires non-technical professionals — the readers of this course — to develop a working mental model of what AI is, how it learns, where it differs from human thought, and what good explanation looks like for each audience.</w:t>
      </w:r>
    </w:p>
    <w:p w14:paraId="6FC750AD" w14:textId="77777777" w:rsidR="009E139C" w:rsidRDefault="003D45ED">
      <w:pPr>
        <w:pStyle w:val="Heading1"/>
        <w:spacing w:before="280" w:after="160"/>
      </w:pPr>
      <w:r>
        <w:t>11. Looking ahead</w:t>
      </w:r>
    </w:p>
    <w:p w14:paraId="4C6EE48C" w14:textId="77777777" w:rsidR="009E139C" w:rsidRDefault="003D45ED">
      <w:pPr>
        <w:spacing w:after="160" w:line="300" w:lineRule="auto"/>
        <w:jc w:val="both"/>
      </w:pPr>
      <w:r>
        <w:t>The remaining four sessions of this course build directly on what has been introduced here.</w:t>
      </w:r>
    </w:p>
    <w:p w14:paraId="5542B7AF" w14:textId="77777777" w:rsidR="009E139C" w:rsidRDefault="003D45ED">
      <w:pPr>
        <w:pStyle w:val="ListParagraph"/>
        <w:numPr>
          <w:ilvl w:val="0"/>
          <w:numId w:val="3"/>
        </w:numPr>
        <w:spacing w:after="100" w:line="300" w:lineRule="auto"/>
      </w:pPr>
      <w:r>
        <w:rPr>
          <w:b/>
          <w:bCs/>
        </w:rPr>
        <w:t>Session 2</w:t>
      </w:r>
      <w:r>
        <w:t xml:space="preserve"> dissects the major XAI techniques — feature importance, SHAP, LIME, counterfactuals, attention visualisations — and tests them against the stakeholder needs in Table 3.</w:t>
      </w:r>
    </w:p>
    <w:p w14:paraId="7B8D92D5" w14:textId="77777777" w:rsidR="009E139C" w:rsidRDefault="003D45ED">
      <w:pPr>
        <w:pStyle w:val="ListParagraph"/>
        <w:numPr>
          <w:ilvl w:val="0"/>
          <w:numId w:val="3"/>
        </w:numPr>
        <w:spacing w:after="100" w:line="300" w:lineRule="auto"/>
      </w:pPr>
      <w:r>
        <w:rPr>
          <w:b/>
          <w:bCs/>
        </w:rPr>
        <w:t>Session 3</w:t>
      </w:r>
      <w:r>
        <w:t xml:space="preserve"> turns to interpretable-by-design models (decision lists, generalised additive models, prototype networks) and revisits Rudin’s accuracy-interpretability debate.</w:t>
      </w:r>
    </w:p>
    <w:p w14:paraId="0146E28E" w14:textId="77777777" w:rsidR="009E139C" w:rsidRDefault="003D45ED">
      <w:pPr>
        <w:pStyle w:val="ListParagraph"/>
        <w:numPr>
          <w:ilvl w:val="0"/>
          <w:numId w:val="3"/>
        </w:numPr>
        <w:spacing w:after="100" w:line="300" w:lineRule="auto"/>
      </w:pPr>
      <w:r>
        <w:rPr>
          <w:b/>
          <w:bCs/>
        </w:rPr>
        <w:t>Session 4</w:t>
      </w:r>
      <w:r>
        <w:t xml:space="preserve"> examines high-stakes applied domains — healthcare, criminal justice, hiring, public administration — and the harms catalogued in cases like COMPAS and the Amazon recruiter.</w:t>
      </w:r>
    </w:p>
    <w:p w14:paraId="176E07BA" w14:textId="77777777" w:rsidR="009E139C" w:rsidRDefault="003D45ED">
      <w:pPr>
        <w:pStyle w:val="ListParagraph"/>
        <w:numPr>
          <w:ilvl w:val="0"/>
          <w:numId w:val="3"/>
        </w:numPr>
        <w:spacing w:after="100" w:line="300" w:lineRule="auto"/>
      </w:pPr>
      <w:r>
        <w:rPr>
          <w:b/>
          <w:bCs/>
        </w:rPr>
        <w:t>Session 5</w:t>
      </w:r>
      <w:r>
        <w:t xml:space="preserve"> synthesises governance: the EU AI Act, sectoral regulation, internal AI assurance, and the cultivation of an institutional capacity for ongoing AI scrutiny.</w:t>
      </w:r>
    </w:p>
    <w:p w14:paraId="732B2F81" w14:textId="77777777" w:rsidR="009E139C" w:rsidRDefault="003D45ED">
      <w:pPr>
        <w:spacing w:after="160" w:line="300" w:lineRule="auto"/>
        <w:jc w:val="both"/>
      </w:pPr>
      <w:r>
        <w:t xml:space="preserve">If you remember only one sentence from this reading, let it be O’Neil’s: </w:t>
      </w:r>
      <w:r>
        <w:rPr>
          <w:i/>
          <w:iCs/>
        </w:rPr>
        <w:t>algorithms are opinions embedded in code</w:t>
      </w:r>
      <w:r>
        <w:t>. The remainder of the course is a toolkit for forming, expressing, and defending an informed opinion about other people’s opinions, when those opinions arrive disguised as mathematics.</w:t>
      </w:r>
    </w:p>
    <w:p w14:paraId="5ACA5166" w14:textId="77777777" w:rsidR="009E139C" w:rsidRDefault="003D45ED">
      <w:pPr>
        <w:spacing w:before="80" w:after="200"/>
        <w:jc w:val="center"/>
      </w:pPr>
      <w:r>
        <w:rPr>
          <w:color w:val="BFBFBF"/>
          <w:sz w:val="18"/>
          <w:szCs w:val="18"/>
        </w:rPr>
        <w:t>————————————————————————————————————————</w:t>
      </w:r>
    </w:p>
    <w:p w14:paraId="1EA19D15" w14:textId="77777777" w:rsidR="009E139C" w:rsidRDefault="003D45ED">
      <w:r>
        <w:br w:type="page"/>
      </w:r>
    </w:p>
    <w:p w14:paraId="3913FF1A" w14:textId="77777777" w:rsidR="009E139C" w:rsidRDefault="003D45ED">
      <w:pPr>
        <w:pStyle w:val="Heading1"/>
        <w:spacing w:before="280" w:after="160"/>
      </w:pPr>
      <w:r>
        <w:t>Bibliography</w:t>
      </w:r>
    </w:p>
    <w:p w14:paraId="4F2E656E" w14:textId="77777777" w:rsidR="009E139C" w:rsidRDefault="003D45ED">
      <w:pPr>
        <w:spacing w:after="140" w:line="280" w:lineRule="auto"/>
        <w:ind w:left="360" w:hanging="360"/>
      </w:pPr>
      <w:r>
        <w:t xml:space="preserve">Anderson, J. R., </w:t>
      </w:r>
      <w:r>
        <w:rPr>
          <w:i/>
          <w:iCs/>
        </w:rPr>
        <w:t>How Can the Human Mind Occur in the Physical Universe?</w:t>
      </w:r>
      <w:r>
        <w:t xml:space="preserve"> (Oxford: Oxford University Press, 2007).</w:t>
      </w:r>
    </w:p>
    <w:p w14:paraId="41F616C3" w14:textId="77777777" w:rsidR="009E139C" w:rsidRDefault="003D45ED">
      <w:pPr>
        <w:spacing w:after="140" w:line="280" w:lineRule="auto"/>
        <w:ind w:left="360" w:hanging="360"/>
      </w:pPr>
      <w:r>
        <w:t xml:space="preserve">Angelov, P. P., E. A. Soares, R. Jiang, N. I. Arnold and P. M. Atkinson, ‘Explainable Artificial Intelligence: An Analytical Review’, </w:t>
      </w:r>
      <w:r>
        <w:rPr>
          <w:i/>
          <w:iCs/>
        </w:rPr>
        <w:t>WIREs Data Mining and Knowledge Discovery</w:t>
      </w:r>
      <w:r>
        <w:t>, vol. 11, no. 5 (2021), e1424.</w:t>
      </w:r>
    </w:p>
    <w:p w14:paraId="18D3FC9A" w14:textId="77777777" w:rsidR="009E139C" w:rsidRDefault="003D45ED">
      <w:pPr>
        <w:spacing w:after="140" w:line="280" w:lineRule="auto"/>
        <w:ind w:left="360" w:hanging="360"/>
      </w:pPr>
      <w:r>
        <w:t xml:space="preserve">Angwin, J., J. Larson, S. Mattu and L. Kirchner, ‘Machine Bias’, </w:t>
      </w:r>
      <w:r>
        <w:rPr>
          <w:i/>
          <w:iCs/>
        </w:rPr>
        <w:t>ProPublica</w:t>
      </w:r>
      <w:r>
        <w:t xml:space="preserve"> (23 May 2016).</w:t>
      </w:r>
    </w:p>
    <w:p w14:paraId="178E578B" w14:textId="77777777" w:rsidR="009E139C" w:rsidRDefault="003D45ED">
      <w:pPr>
        <w:spacing w:after="140" w:line="280" w:lineRule="auto"/>
        <w:ind w:left="360" w:hanging="360"/>
      </w:pPr>
      <w:r>
        <w:t xml:space="preserve">Barredo Arrieta, A., et al., ‘Explainable Artificial Intelligence (XAI): Concepts, Taxonomies, Opportunities and Challenges toward Responsible AI’, </w:t>
      </w:r>
      <w:r>
        <w:rPr>
          <w:i/>
          <w:iCs/>
        </w:rPr>
        <w:t>Information Fusion</w:t>
      </w:r>
      <w:r>
        <w:t>, vol. 58 (2020), 82–115.</w:t>
      </w:r>
    </w:p>
    <w:p w14:paraId="4AC140CB" w14:textId="77777777" w:rsidR="009E139C" w:rsidRDefault="003D45ED">
      <w:pPr>
        <w:spacing w:after="140" w:line="280" w:lineRule="auto"/>
        <w:ind w:left="360" w:hanging="360"/>
      </w:pPr>
      <w:r>
        <w:t xml:space="preserve">Dastin, J., ‘Amazon Scraps Secret AI Recruiting Tool that Showed Bias against Women’, </w:t>
      </w:r>
      <w:r>
        <w:rPr>
          <w:i/>
          <w:iCs/>
        </w:rPr>
        <w:t>Reuters</w:t>
      </w:r>
      <w:r>
        <w:t xml:space="preserve"> (10 October 2018).</w:t>
      </w:r>
    </w:p>
    <w:p w14:paraId="72DF88A8" w14:textId="77777777" w:rsidR="009E139C" w:rsidRDefault="003D45ED">
      <w:pPr>
        <w:spacing w:after="140" w:line="280" w:lineRule="auto"/>
        <w:ind w:left="360" w:hanging="360"/>
      </w:pPr>
      <w:r>
        <w:t>Doshi-Velez, F., and B. Kim, ‘Towards a Rigorous Science of Interpretable Machine Learning’ (2017), arXiv:1702.08608.</w:t>
      </w:r>
    </w:p>
    <w:p w14:paraId="048A77DE" w14:textId="77777777" w:rsidR="009E139C" w:rsidRDefault="003D45ED">
      <w:pPr>
        <w:spacing w:after="140" w:line="280" w:lineRule="auto"/>
        <w:ind w:left="360" w:hanging="360"/>
      </w:pPr>
      <w:r>
        <w:t>European Union, Regulation (EU) 2024/1689 (Artificial Intelligence Act), [2024] OJ L 1689/1.</w:t>
      </w:r>
    </w:p>
    <w:p w14:paraId="4F25233D" w14:textId="77777777" w:rsidR="009E139C" w:rsidRDefault="003D45ED">
      <w:pPr>
        <w:spacing w:after="140" w:line="280" w:lineRule="auto"/>
        <w:ind w:left="360" w:hanging="360"/>
      </w:pPr>
      <w:r>
        <w:t>Farebrother, J., M. C. Machado and M. Bowling, ‘Generalization and Regularization in DQN’ (2018), arXiv:1810.00123.</w:t>
      </w:r>
    </w:p>
    <w:p w14:paraId="5EC5BFB6" w14:textId="77777777" w:rsidR="009E139C" w:rsidRDefault="003D45ED">
      <w:pPr>
        <w:spacing w:after="140" w:line="280" w:lineRule="auto"/>
        <w:ind w:left="360" w:hanging="360"/>
      </w:pPr>
      <w:r>
        <w:t xml:space="preserve">French, R. M., ‘Catastrophic Forgetting in Connectionist Networks’, </w:t>
      </w:r>
      <w:r>
        <w:rPr>
          <w:i/>
          <w:iCs/>
        </w:rPr>
        <w:t>Trends in Cognitive Sciences</w:t>
      </w:r>
      <w:r>
        <w:t>, vol. 3, no. 4 (1999), 128–135.</w:t>
      </w:r>
    </w:p>
    <w:p w14:paraId="6358A02D" w14:textId="77777777" w:rsidR="009E139C" w:rsidRDefault="003D45ED">
      <w:pPr>
        <w:spacing w:after="140" w:line="280" w:lineRule="auto"/>
        <w:ind w:left="360" w:hanging="360"/>
      </w:pPr>
      <w:r>
        <w:t xml:space="preserve">Gazzaniga, M. S., R. B. Ivry and G. R. Mangun, </w:t>
      </w:r>
      <w:r>
        <w:rPr>
          <w:i/>
          <w:iCs/>
        </w:rPr>
        <w:t>Cognitive Neuroscience: The Biology of the Mind</w:t>
      </w:r>
      <w:r>
        <w:t xml:space="preserve"> (5th edn, New York: W.W. Norton, 2018).</w:t>
      </w:r>
    </w:p>
    <w:p w14:paraId="5A05D03D" w14:textId="77777777" w:rsidR="009E139C" w:rsidRDefault="003D45ED">
      <w:pPr>
        <w:spacing w:after="140" w:line="280" w:lineRule="auto"/>
        <w:ind w:left="360" w:hanging="360"/>
      </w:pPr>
      <w:r>
        <w:t xml:space="preserve">Geirhos, R., et al., ‘Shortcut Learning in Deep Neural Networks’, </w:t>
      </w:r>
      <w:r>
        <w:rPr>
          <w:i/>
          <w:iCs/>
        </w:rPr>
        <w:t>Nature Machine Intelligence</w:t>
      </w:r>
      <w:r>
        <w:t>, vol. 2 (2020), 665–673.</w:t>
      </w:r>
    </w:p>
    <w:p w14:paraId="2C129199" w14:textId="77777777" w:rsidR="009E139C" w:rsidRDefault="003D45ED">
      <w:pPr>
        <w:spacing w:after="140" w:line="280" w:lineRule="auto"/>
        <w:ind w:left="360" w:hanging="360"/>
      </w:pPr>
      <w:r>
        <w:t xml:space="preserve">Gunning, D., and D. W. Aha, ‘DARPA’s Explainable Artificial Intelligence (XAI) Program’, </w:t>
      </w:r>
      <w:r>
        <w:rPr>
          <w:i/>
          <w:iCs/>
        </w:rPr>
        <w:t>AI Magazine</w:t>
      </w:r>
      <w:r>
        <w:t>, vol. 40, no. 2 (2019), 44–58.</w:t>
      </w:r>
    </w:p>
    <w:p w14:paraId="5F686176" w14:textId="77777777" w:rsidR="009E139C" w:rsidRDefault="003D45ED">
      <w:pPr>
        <w:spacing w:after="140" w:line="280" w:lineRule="auto"/>
        <w:ind w:left="360" w:hanging="360"/>
      </w:pPr>
      <w:r>
        <w:t xml:space="preserve">Hosseinmardi, H., et al., ‘Examining the Consumption of Radical Content on YouTube’, </w:t>
      </w:r>
      <w:r>
        <w:rPr>
          <w:i/>
          <w:iCs/>
        </w:rPr>
        <w:t>Proceedings of the National Academy of Sciences</w:t>
      </w:r>
      <w:r>
        <w:t>, vol. 118, no. 32 (2021), e2101967118.</w:t>
      </w:r>
    </w:p>
    <w:p w14:paraId="426FE5A0" w14:textId="77777777" w:rsidR="009E139C" w:rsidRDefault="003D45ED">
      <w:pPr>
        <w:spacing w:after="140" w:line="280" w:lineRule="auto"/>
        <w:ind w:left="360" w:hanging="360"/>
      </w:pPr>
      <w:r>
        <w:t xml:space="preserve">Kahneman, D., </w:t>
      </w:r>
      <w:r>
        <w:rPr>
          <w:i/>
          <w:iCs/>
        </w:rPr>
        <w:t>Thinking, Fast and Slow</w:t>
      </w:r>
      <w:r>
        <w:t xml:space="preserve"> (New York: Farrar, Straus and Giroux, 2011).</w:t>
      </w:r>
    </w:p>
    <w:p w14:paraId="59C90B55" w14:textId="77777777" w:rsidR="009E139C" w:rsidRDefault="003D45ED">
      <w:pPr>
        <w:spacing w:after="140" w:line="280" w:lineRule="auto"/>
        <w:ind w:left="360" w:hanging="360"/>
      </w:pPr>
      <w:r>
        <w:t xml:space="preserve">Kotseruba, I., and J. K. Tsotsos, ‘40 Years of Cognitive Architectures: Core Cognitive Abilities and Practical Applications’, </w:t>
      </w:r>
      <w:r>
        <w:rPr>
          <w:i/>
          <w:iCs/>
        </w:rPr>
        <w:t>Artificial Intelligence Review</w:t>
      </w:r>
      <w:r>
        <w:t>, vol. 53, no. 1 (2020), 17–94.</w:t>
      </w:r>
    </w:p>
    <w:p w14:paraId="10C49E6A" w14:textId="77777777" w:rsidR="009E139C" w:rsidRDefault="003D45ED">
      <w:pPr>
        <w:spacing w:after="140" w:line="280" w:lineRule="auto"/>
        <w:ind w:left="360" w:hanging="360"/>
      </w:pPr>
      <w:r>
        <w:t xml:space="preserve">Laird, J. E., </w:t>
      </w:r>
      <w:r>
        <w:rPr>
          <w:i/>
          <w:iCs/>
        </w:rPr>
        <w:t>The Soar Cognitive Architecture</w:t>
      </w:r>
      <w:r>
        <w:t xml:space="preserve"> (Cambridge MA: MIT Press, 2012).</w:t>
      </w:r>
    </w:p>
    <w:p w14:paraId="61FDF683" w14:textId="77777777" w:rsidR="009E139C" w:rsidRDefault="003D45ED">
      <w:pPr>
        <w:spacing w:after="140" w:line="280" w:lineRule="auto"/>
        <w:ind w:left="360" w:hanging="360"/>
      </w:pPr>
      <w:r>
        <w:t xml:space="preserve">Lake, B. M., T. D. Ullman, J. B. Tenenbaum and S. J. Gershman, ‘Building Machines that Learn and Think Like People’, </w:t>
      </w:r>
      <w:r>
        <w:rPr>
          <w:i/>
          <w:iCs/>
        </w:rPr>
        <w:t>Behavioral and Brain Sciences</w:t>
      </w:r>
      <w:r>
        <w:t>, vol. 40 (2017), e253.</w:t>
      </w:r>
    </w:p>
    <w:p w14:paraId="66E6EDA8" w14:textId="77777777" w:rsidR="009E139C" w:rsidRDefault="003D45ED">
      <w:pPr>
        <w:spacing w:after="140" w:line="280" w:lineRule="auto"/>
        <w:ind w:left="360" w:hanging="360"/>
      </w:pPr>
      <w:r>
        <w:t xml:space="preserve">Lavelle-Hill, R., G. Smith, H. Deininger and K. Murayama, ‘An Explainable Artificial Intelligence Handbook for Psychologists’, </w:t>
      </w:r>
      <w:r>
        <w:rPr>
          <w:i/>
          <w:iCs/>
        </w:rPr>
        <w:t>Psychological Methods</w:t>
      </w:r>
      <w:r>
        <w:t xml:space="preserve"> (2025), advance publication.</w:t>
      </w:r>
    </w:p>
    <w:p w14:paraId="44383FB7" w14:textId="77777777" w:rsidR="009E139C" w:rsidRDefault="003D45ED">
      <w:pPr>
        <w:spacing w:after="140" w:line="280" w:lineRule="auto"/>
        <w:ind w:left="360" w:hanging="360"/>
      </w:pPr>
      <w:r>
        <w:t xml:space="preserve">LeCun, Y., Y. Bengio and G. Hinton, ‘Deep Learning’, </w:t>
      </w:r>
      <w:r>
        <w:rPr>
          <w:i/>
          <w:iCs/>
        </w:rPr>
        <w:t>Nature</w:t>
      </w:r>
      <w:r>
        <w:t>, vol. 521, no. 7553 (2015), 436–444.</w:t>
      </w:r>
    </w:p>
    <w:p w14:paraId="3CF128B8" w14:textId="77777777" w:rsidR="009E139C" w:rsidRDefault="003D45ED">
      <w:pPr>
        <w:spacing w:after="140" w:line="280" w:lineRule="auto"/>
        <w:ind w:left="360" w:hanging="360"/>
      </w:pPr>
      <w:r>
        <w:t xml:space="preserve">Ludvigsen, K. G. A., ‘The Carbon Footprint of GPT-4’, </w:t>
      </w:r>
      <w:r>
        <w:rPr>
          <w:i/>
          <w:iCs/>
        </w:rPr>
        <w:t>Towards Data Science</w:t>
      </w:r>
      <w:r>
        <w:t xml:space="preserve"> (18 July 2023).</w:t>
      </w:r>
    </w:p>
    <w:p w14:paraId="0AB40180" w14:textId="77777777" w:rsidR="009E139C" w:rsidRDefault="003D45ED">
      <w:pPr>
        <w:spacing w:after="140" w:line="280" w:lineRule="auto"/>
        <w:ind w:left="360" w:hanging="360"/>
      </w:pPr>
      <w:r>
        <w:t xml:space="preserve">Marcus, G., and E. Davis, </w:t>
      </w:r>
      <w:r>
        <w:rPr>
          <w:i/>
          <w:iCs/>
        </w:rPr>
        <w:t>Rebooting AI: Building Artificial Intelligence We Can Trust</w:t>
      </w:r>
      <w:r>
        <w:t xml:space="preserve"> (New York: Pantheon, 2019).</w:t>
      </w:r>
    </w:p>
    <w:p w14:paraId="36AA3922" w14:textId="77777777" w:rsidR="009E139C" w:rsidRDefault="003D45ED">
      <w:pPr>
        <w:spacing w:after="140" w:line="280" w:lineRule="auto"/>
        <w:ind w:left="360" w:hanging="360"/>
      </w:pPr>
      <w:r>
        <w:t xml:space="preserve">McCloskey, M., and N. J. Cohen, ‘Catastrophic Interference in Connectionist Networks: The Sequential Learning Problem’, </w:t>
      </w:r>
      <w:r>
        <w:rPr>
          <w:i/>
          <w:iCs/>
        </w:rPr>
        <w:t>Psychology of Learning and Motivation</w:t>
      </w:r>
      <w:r>
        <w:t>, vol. 24 (1989), 109–165.</w:t>
      </w:r>
    </w:p>
    <w:p w14:paraId="3B5E9895" w14:textId="77777777" w:rsidR="009E139C" w:rsidRDefault="003D45ED">
      <w:pPr>
        <w:spacing w:after="140" w:line="280" w:lineRule="auto"/>
        <w:ind w:left="360" w:hanging="360"/>
      </w:pPr>
      <w:r>
        <w:t xml:space="preserve">Mersha, M., K. Lam, J. Wood, A. K. AlShami and J. Kalita, ‘Explainable Artificial Intelligence: A Survey of Needs, Techniques, Applications, and Future Direction’, </w:t>
      </w:r>
      <w:r>
        <w:rPr>
          <w:i/>
          <w:iCs/>
        </w:rPr>
        <w:t>Neurocomputing</w:t>
      </w:r>
      <w:r>
        <w:t>, vol. 599 (2024), 128111.</w:t>
      </w:r>
    </w:p>
    <w:p w14:paraId="37104DB1" w14:textId="77777777" w:rsidR="009E139C" w:rsidRDefault="003D45ED">
      <w:pPr>
        <w:spacing w:after="140" w:line="280" w:lineRule="auto"/>
        <w:ind w:left="360" w:hanging="360"/>
      </w:pPr>
      <w:r>
        <w:t xml:space="preserve">Mnih, V., et al., ‘Human-Level Control through Deep Reinforcement Learning’, </w:t>
      </w:r>
      <w:r>
        <w:rPr>
          <w:i/>
          <w:iCs/>
        </w:rPr>
        <w:t>Nature</w:t>
      </w:r>
      <w:r>
        <w:t>, vol. 518, no. 7540 (2015), 529–533.</w:t>
      </w:r>
    </w:p>
    <w:p w14:paraId="078156AC" w14:textId="77777777" w:rsidR="009E139C" w:rsidRDefault="003D45ED">
      <w:pPr>
        <w:spacing w:after="140" w:line="280" w:lineRule="auto"/>
        <w:ind w:left="360" w:hanging="360"/>
      </w:pPr>
      <w:r>
        <w:t xml:space="preserve">Molnar, C., </w:t>
      </w:r>
      <w:r>
        <w:rPr>
          <w:i/>
          <w:iCs/>
        </w:rPr>
        <w:t>Interpretable Machine Learning: A Guide for Making Black Box Models Explainable</w:t>
      </w:r>
      <w:r>
        <w:t xml:space="preserve"> (3rd edn, 2025).</w:t>
      </w:r>
    </w:p>
    <w:p w14:paraId="07E6B005" w14:textId="77777777" w:rsidR="009E139C" w:rsidRDefault="003D45ED">
      <w:pPr>
        <w:spacing w:after="140" w:line="280" w:lineRule="auto"/>
        <w:ind w:left="360" w:hanging="360"/>
      </w:pPr>
      <w:r>
        <w:t xml:space="preserve">Newell, A., and H. A. Simon, ‘Computer Science as Empirical Inquiry: Symbols and Search’, </w:t>
      </w:r>
      <w:r>
        <w:rPr>
          <w:i/>
          <w:iCs/>
        </w:rPr>
        <w:t>Communications of the ACM</w:t>
      </w:r>
      <w:r>
        <w:t>, vol. 19, no. 3 (1976), 113–126.</w:t>
      </w:r>
    </w:p>
    <w:p w14:paraId="37FB77C0" w14:textId="77777777" w:rsidR="009E139C" w:rsidRDefault="003D45ED">
      <w:pPr>
        <w:spacing w:after="140" w:line="280" w:lineRule="auto"/>
        <w:ind w:left="360" w:hanging="360"/>
      </w:pPr>
      <w:r>
        <w:t xml:space="preserve">O’Neil, C., </w:t>
      </w:r>
      <w:r>
        <w:rPr>
          <w:i/>
          <w:iCs/>
        </w:rPr>
        <w:t>Weapons of Math Destruction: How Big Data Increases Inequality and Threatens Democracy</w:t>
      </w:r>
      <w:r>
        <w:t xml:space="preserve"> (New York: Crown, 2016).</w:t>
      </w:r>
    </w:p>
    <w:p w14:paraId="452DC29D" w14:textId="77777777" w:rsidR="009E139C" w:rsidRDefault="003D45ED">
      <w:pPr>
        <w:spacing w:after="140" w:line="280" w:lineRule="auto"/>
        <w:ind w:left="360" w:hanging="360"/>
      </w:pPr>
      <w:r>
        <w:t xml:space="preserve">Rudin, C., ‘Stop Explaining Black Box Machine Learning Models for High Stakes Decisions and Use Interpretable Models Instead’, </w:t>
      </w:r>
      <w:r>
        <w:rPr>
          <w:i/>
          <w:iCs/>
        </w:rPr>
        <w:t>Nature Machine Intelligence</w:t>
      </w:r>
      <w:r>
        <w:t>, vol. 1, no. 5 (2019), 206–215.</w:t>
      </w:r>
    </w:p>
    <w:p w14:paraId="078FCDEA" w14:textId="77777777" w:rsidR="009E139C" w:rsidRDefault="003D45ED">
      <w:pPr>
        <w:spacing w:after="140" w:line="280" w:lineRule="auto"/>
        <w:ind w:left="360" w:hanging="360"/>
      </w:pPr>
      <w:r>
        <w:t xml:space="preserve">Sengupta, S., and T. J. Sejnowski, ‘Power Consumption During Neuronal Computation’, </w:t>
      </w:r>
      <w:r>
        <w:rPr>
          <w:i/>
          <w:iCs/>
        </w:rPr>
        <w:t>Proceedings of the IEEE</w:t>
      </w:r>
      <w:r>
        <w:t>, vol. 102, no. 5 (2014), 738–750.</w:t>
      </w:r>
    </w:p>
    <w:p w14:paraId="32DB4B6C" w14:textId="77777777" w:rsidR="009E139C" w:rsidRDefault="003D45ED">
      <w:pPr>
        <w:spacing w:after="140" w:line="280" w:lineRule="auto"/>
        <w:ind w:left="360" w:hanging="360"/>
      </w:pPr>
      <w:r>
        <w:t xml:space="preserve">Siemens, G., F. Marmolejo-Ramos, F. Gabriel, K. Medeiros, R. Marrone, S. Joksimovic and M. de Laat, ‘Human and Artificial Cognition’, </w:t>
      </w:r>
      <w:r>
        <w:rPr>
          <w:i/>
          <w:iCs/>
        </w:rPr>
        <w:t>Computers and Education: Artificial Intelligence</w:t>
      </w:r>
      <w:r>
        <w:t>, vol. 3 (2022), 100107.</w:t>
      </w:r>
    </w:p>
    <w:p w14:paraId="21E937AB" w14:textId="77777777" w:rsidR="009E139C" w:rsidRDefault="003D45ED">
      <w:pPr>
        <w:spacing w:after="140" w:line="280" w:lineRule="auto"/>
        <w:ind w:left="360" w:hanging="360"/>
      </w:pPr>
      <w:r>
        <w:t xml:space="preserve">Strubell, E., A. Ganesh and A. McCallum, ‘Energy and Policy Considerations for Deep Learning in NLP’, in </w:t>
      </w:r>
      <w:r>
        <w:rPr>
          <w:i/>
          <w:iCs/>
        </w:rPr>
        <w:t>Proceedings of the 57th Annual Meeting of the Association for Computational Linguistics</w:t>
      </w:r>
      <w:r>
        <w:t xml:space="preserve"> (Florence: ACL, 2019), 3645–3650.</w:t>
      </w:r>
    </w:p>
    <w:p w14:paraId="0B094EE6" w14:textId="77777777" w:rsidR="009E139C" w:rsidRDefault="003D45ED">
      <w:pPr>
        <w:spacing w:after="140" w:line="280" w:lineRule="auto"/>
        <w:ind w:left="360" w:hanging="360"/>
      </w:pPr>
      <w:r>
        <w:t xml:space="preserve">Sun, R., </w:t>
      </w:r>
      <w:r>
        <w:rPr>
          <w:i/>
          <w:iCs/>
        </w:rPr>
        <w:t>Anatomy of the Mind: Exploring Psychological Mechanisms and Processes with the Clarion Cognitive Architecture</w:t>
      </w:r>
      <w:r>
        <w:t xml:space="preserve"> (Oxford: Oxford University Press, 2016).</w:t>
      </w:r>
    </w:p>
    <w:p w14:paraId="7F2494BC" w14:textId="77777777" w:rsidR="009E139C" w:rsidRDefault="003D45ED">
      <w:pPr>
        <w:spacing w:after="140" w:line="280" w:lineRule="auto"/>
        <w:ind w:left="360" w:hanging="360"/>
      </w:pPr>
      <w:r>
        <w:t xml:space="preserve">Taylor, J. E. T., and G. W. Taylor, ‘Artificial Cognition: How Experimental Psychology Can Help Generate Explainable Artificial Intelligence’, </w:t>
      </w:r>
      <w:r>
        <w:rPr>
          <w:i/>
          <w:iCs/>
        </w:rPr>
        <w:t>Psychonomic Bulletin &amp; Review</w:t>
      </w:r>
      <w:r>
        <w:t>, vol. 28, no. 2 (2021), 454–475.</w:t>
      </w:r>
    </w:p>
    <w:p w14:paraId="396ADF91" w14:textId="77777777" w:rsidR="009E139C" w:rsidRDefault="003D45ED">
      <w:pPr>
        <w:spacing w:after="140" w:line="280" w:lineRule="auto"/>
        <w:ind w:left="360" w:hanging="360"/>
      </w:pPr>
      <w:r>
        <w:t xml:space="preserve">Winkler, J. K., et al., ‘Association Between Surgical Skin Markings in Dermoscopic Images and Diagnostic Performance of a Deep Learning Convolutional Neural Network for Melanoma Recognition’, </w:t>
      </w:r>
      <w:r>
        <w:rPr>
          <w:i/>
          <w:iCs/>
        </w:rPr>
        <w:t>JAMA Dermatology</w:t>
      </w:r>
      <w:r>
        <w:t>, vol. 155, no. 10 (2019), 1135–1141.</w:t>
      </w:r>
    </w:p>
    <w:p w14:paraId="540F8D79" w14:textId="77777777" w:rsidR="009E139C" w:rsidRDefault="003D45ED">
      <w:pPr>
        <w:spacing w:after="140" w:line="280" w:lineRule="auto"/>
        <w:ind w:left="360" w:hanging="360"/>
      </w:pPr>
      <w:r>
        <w:t xml:space="preserve">Winkler, J. K., et al., ‘Association Between Different Scale Bars in Dermoscopic Images and Diagnostic Performance of a Market-Approved Deep Learning Convolutional Neural Network for Melanoma Recognition’, </w:t>
      </w:r>
      <w:r>
        <w:rPr>
          <w:i/>
          <w:iCs/>
        </w:rPr>
        <w:t>European Journal of Cancer</w:t>
      </w:r>
      <w:r>
        <w:t>, vol. 145 (2021), 146–154.</w:t>
      </w:r>
    </w:p>
    <w:sectPr w:rsidR="009E139C">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77DB26" w14:textId="77777777" w:rsidR="003D45ED" w:rsidRDefault="003D45ED">
      <w:r>
        <w:separator/>
      </w:r>
    </w:p>
  </w:endnote>
  <w:endnote w:type="continuationSeparator" w:id="0">
    <w:p w14:paraId="4392E6A7" w14:textId="77777777" w:rsidR="003D45ED" w:rsidRDefault="003D45E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00CF5D" w14:textId="77777777" w:rsidR="009E139C" w:rsidRDefault="003D45ED">
    <w:pPr>
      <w:jc w:val="center"/>
    </w:pPr>
    <w:r>
      <w:rPr>
        <w:color w:val="595959"/>
        <w:sz w:val="18"/>
        <w:szCs w:val="18"/>
      </w:rPr>
      <w:t xml:space="preserve">Page </w:t>
    </w:r>
    <w:r>
      <w:rPr>
        <w:color w:val="595959"/>
        <w:sz w:val="18"/>
        <w:szCs w:val="18"/>
      </w:rPr>
      <w:fldChar w:fldCharType="begin"/>
    </w:r>
    <w:r>
      <w:rPr>
        <w:color w:val="595959"/>
        <w:sz w:val="18"/>
        <w:szCs w:val="18"/>
      </w:rPr>
      <w:instrText>PAGE</w:instrText>
    </w:r>
    <w:r>
      <w:rPr>
        <w:color w:val="595959"/>
        <w:sz w:val="18"/>
        <w:szCs w:val="18"/>
      </w:rPr>
      <w:fldChar w:fldCharType="separate"/>
    </w:r>
    <w:r>
      <w:rPr>
        <w:noProof/>
        <w:color w:val="595959"/>
        <w:sz w:val="18"/>
        <w:szCs w:val="18"/>
      </w:rPr>
      <w:t>1</w:t>
    </w:r>
    <w:r>
      <w:rPr>
        <w:color w:val="595959"/>
        <w:sz w:val="18"/>
        <w:szCs w:val="18"/>
      </w:rPr>
      <w:fldChar w:fldCharType="end"/>
    </w:r>
    <w:r>
      <w:rPr>
        <w:color w:val="595959"/>
        <w:sz w:val="18"/>
        <w:szCs w:val="18"/>
      </w:rPr>
      <w:t xml:space="preserve"> of </w:t>
    </w:r>
    <w:r>
      <w:rPr>
        <w:color w:val="595959"/>
        <w:sz w:val="18"/>
        <w:szCs w:val="18"/>
      </w:rPr>
      <w:fldChar w:fldCharType="begin"/>
    </w:r>
    <w:r>
      <w:rPr>
        <w:color w:val="595959"/>
        <w:sz w:val="18"/>
        <w:szCs w:val="18"/>
      </w:rPr>
      <w:instrText>NUMPAGES</w:instrText>
    </w:r>
    <w:r>
      <w:rPr>
        <w:color w:val="595959"/>
        <w:sz w:val="18"/>
        <w:szCs w:val="18"/>
      </w:rPr>
      <w:fldChar w:fldCharType="separate"/>
    </w:r>
    <w:r>
      <w:rPr>
        <w:noProof/>
        <w:color w:val="595959"/>
        <w:sz w:val="18"/>
        <w:szCs w:val="18"/>
      </w:rPr>
      <w:t>2</w:t>
    </w:r>
    <w:r>
      <w:rPr>
        <w:color w:val="59595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8F8A2A" w14:textId="77777777" w:rsidR="003D45ED" w:rsidRDefault="003D45ED">
      <w:r>
        <w:separator/>
      </w:r>
    </w:p>
  </w:footnote>
  <w:footnote w:type="continuationSeparator" w:id="0">
    <w:p w14:paraId="215741E4" w14:textId="77777777" w:rsidR="003D45ED" w:rsidRDefault="003D45ED">
      <w:r>
        <w:continuationSeparator/>
      </w:r>
    </w:p>
  </w:footnote>
  <w:footnote w:id="1">
    <w:p w14:paraId="3D0F8695" w14:textId="77777777" w:rsidR="009E139C" w:rsidRDefault="003D45ED">
      <w:pPr>
        <w:spacing w:after="60"/>
      </w:pPr>
      <w:r>
        <w:rPr>
          <w:rStyle w:val="FootnoteReference"/>
        </w:rPr>
        <w:footnoteRef/>
      </w:r>
      <w:r>
        <w:rPr>
          <w:sz w:val="18"/>
          <w:szCs w:val="18"/>
        </w:rPr>
        <w:t xml:space="preserve">For a rigorous but accessible treatment, see Christoph Molnar, </w:t>
      </w:r>
      <w:r>
        <w:rPr>
          <w:i/>
          <w:iCs/>
          <w:sz w:val="18"/>
          <w:szCs w:val="18"/>
        </w:rPr>
        <w:t>Interpretable Machine Learning: A Guide for Making Black Box Models Explainable</w:t>
      </w:r>
      <w:r>
        <w:rPr>
          <w:sz w:val="18"/>
          <w:szCs w:val="18"/>
        </w:rPr>
        <w:t xml:space="preserve"> (3rd edn, self-published 2025) ch. 1, available at https://christophm.github.io/interpretable-ml-book/ accessed 7 May 2026.</w:t>
      </w:r>
    </w:p>
  </w:footnote>
  <w:footnote w:id="2">
    <w:p w14:paraId="17AAC7D1" w14:textId="77777777" w:rsidR="009E139C" w:rsidRDefault="003D45ED">
      <w:pPr>
        <w:spacing w:after="60"/>
      </w:pPr>
      <w:r>
        <w:rPr>
          <w:rStyle w:val="FootnoteReference"/>
        </w:rPr>
        <w:footnoteRef/>
      </w:r>
      <w:r>
        <w:rPr>
          <w:sz w:val="18"/>
          <w:szCs w:val="18"/>
        </w:rPr>
        <w:t xml:space="preserve">Yann LeCun, Yoshua Bengio and Geoffrey Hinton, ‘Deep Learning’ (2015) 521(7553) </w:t>
      </w:r>
      <w:r>
        <w:rPr>
          <w:i/>
          <w:iCs/>
          <w:sz w:val="18"/>
          <w:szCs w:val="18"/>
        </w:rPr>
        <w:t>Nature</w:t>
      </w:r>
      <w:r>
        <w:rPr>
          <w:sz w:val="18"/>
          <w:szCs w:val="18"/>
        </w:rPr>
        <w:t xml:space="preserve"> 436, 436.</w:t>
      </w:r>
    </w:p>
  </w:footnote>
  <w:footnote w:id="3">
    <w:p w14:paraId="0DC04D8F" w14:textId="77777777" w:rsidR="009E139C" w:rsidRDefault="003D45ED">
      <w:pPr>
        <w:spacing w:after="60"/>
      </w:pPr>
      <w:r>
        <w:rPr>
          <w:rStyle w:val="FootnoteReference"/>
        </w:rPr>
        <w:footnoteRef/>
      </w:r>
      <w:r>
        <w:rPr>
          <w:sz w:val="18"/>
          <w:szCs w:val="18"/>
        </w:rPr>
        <w:t xml:space="preserve">Cathy O’Neil, </w:t>
      </w:r>
      <w:r>
        <w:rPr>
          <w:i/>
          <w:iCs/>
          <w:sz w:val="18"/>
          <w:szCs w:val="18"/>
        </w:rPr>
        <w:t>Weapons of Math Destruction: How Big Data Increases Inequality and Threatens Democracy</w:t>
      </w:r>
      <w:r>
        <w:rPr>
          <w:sz w:val="18"/>
          <w:szCs w:val="18"/>
        </w:rPr>
        <w:t xml:space="preserve"> (Crown 2016); the formulation “algorithms are opinions embedded in code” is also delivered in her widely-viewed TED talk, ‘The Era of Blind Faith in Big Data Must End’ (TED, April 2017).</w:t>
      </w:r>
    </w:p>
  </w:footnote>
  <w:footnote w:id="4">
    <w:p w14:paraId="256C1602" w14:textId="77777777" w:rsidR="009E139C" w:rsidRDefault="003D45ED">
      <w:pPr>
        <w:spacing w:after="60"/>
      </w:pPr>
      <w:r>
        <w:rPr>
          <w:rStyle w:val="FootnoteReference"/>
        </w:rPr>
        <w:footnoteRef/>
      </w:r>
      <w:r>
        <w:rPr>
          <w:sz w:val="18"/>
          <w:szCs w:val="18"/>
        </w:rPr>
        <w:t xml:space="preserve">Jeffrey Dastin, ‘Amazon Scraps Secret AI Recruiting Tool that Showed Bias against Women’, </w:t>
      </w:r>
      <w:r>
        <w:rPr>
          <w:i/>
          <w:iCs/>
          <w:sz w:val="18"/>
          <w:szCs w:val="18"/>
        </w:rPr>
        <w:t>Reuters</w:t>
      </w:r>
      <w:r>
        <w:rPr>
          <w:sz w:val="18"/>
          <w:szCs w:val="18"/>
        </w:rPr>
        <w:t xml:space="preserve"> (San Francisco, 10 October 2018).</w:t>
      </w:r>
    </w:p>
  </w:footnote>
  <w:footnote w:id="5">
    <w:p w14:paraId="3E9500E6" w14:textId="77777777" w:rsidR="009E139C" w:rsidRDefault="003D45ED">
      <w:pPr>
        <w:spacing w:after="60"/>
      </w:pPr>
      <w:r>
        <w:rPr>
          <w:rStyle w:val="FootnoteReference"/>
        </w:rPr>
        <w:footnoteRef/>
      </w:r>
      <w:r>
        <w:rPr>
          <w:sz w:val="18"/>
          <w:szCs w:val="18"/>
        </w:rPr>
        <w:t xml:space="preserve">This is the well-known “Clever Hans” or shortcut-learning failure mode; for a survey see Robert Geirhos and others, ‘Shortcut Learning in Deep Neural Networks’ (2020) 2 </w:t>
      </w:r>
      <w:r>
        <w:rPr>
          <w:i/>
          <w:iCs/>
          <w:sz w:val="18"/>
          <w:szCs w:val="18"/>
        </w:rPr>
        <w:t>Nature Machine Intelligence</w:t>
      </w:r>
      <w:r>
        <w:rPr>
          <w:sz w:val="18"/>
          <w:szCs w:val="18"/>
        </w:rPr>
        <w:t xml:space="preserve"> 665.</w:t>
      </w:r>
    </w:p>
  </w:footnote>
  <w:footnote w:id="6">
    <w:p w14:paraId="75505DE7" w14:textId="77777777" w:rsidR="009E139C" w:rsidRDefault="003D45ED">
      <w:pPr>
        <w:spacing w:after="60"/>
      </w:pPr>
      <w:r>
        <w:rPr>
          <w:rStyle w:val="FootnoteReference"/>
        </w:rPr>
        <w:footnoteRef/>
      </w:r>
      <w:r>
        <w:rPr>
          <w:sz w:val="18"/>
          <w:szCs w:val="18"/>
        </w:rPr>
        <w:t xml:space="preserve">J. Eric T. Taylor and Graham W. Taylor, ‘Artificial Cognition: How Experimental Psychology Can Help Generate Explainable Artificial Intelligence’ (2021) 28(2) </w:t>
      </w:r>
      <w:r>
        <w:rPr>
          <w:i/>
          <w:iCs/>
          <w:sz w:val="18"/>
          <w:szCs w:val="18"/>
        </w:rPr>
        <w:t>Psychonomic Bulletin &amp; Review</w:t>
      </w:r>
      <w:r>
        <w:rPr>
          <w:sz w:val="18"/>
          <w:szCs w:val="18"/>
        </w:rPr>
        <w:t xml:space="preserve"> 454.</w:t>
      </w:r>
    </w:p>
  </w:footnote>
  <w:footnote w:id="7">
    <w:p w14:paraId="272F6BC5" w14:textId="77777777" w:rsidR="009E139C" w:rsidRDefault="003D45ED">
      <w:pPr>
        <w:spacing w:after="60"/>
      </w:pPr>
      <w:r>
        <w:rPr>
          <w:rStyle w:val="FootnoteReference"/>
        </w:rPr>
        <w:footnoteRef/>
      </w:r>
      <w:r>
        <w:rPr>
          <w:sz w:val="18"/>
          <w:szCs w:val="18"/>
        </w:rPr>
        <w:t xml:space="preserve">Cynthia Rudin, ‘Stop Explaining Black Box Machine Learning Models for High Stakes Decisions and Use Interpretable Models Instead’ (2019) 1(5) </w:t>
      </w:r>
      <w:r>
        <w:rPr>
          <w:i/>
          <w:iCs/>
          <w:sz w:val="18"/>
          <w:szCs w:val="18"/>
        </w:rPr>
        <w:t>Nature Machine Intelligence</w:t>
      </w:r>
      <w:r>
        <w:rPr>
          <w:sz w:val="18"/>
          <w:szCs w:val="18"/>
        </w:rPr>
        <w:t xml:space="preserve"> 206, 206.</w:t>
      </w:r>
    </w:p>
  </w:footnote>
  <w:footnote w:id="8">
    <w:p w14:paraId="614619FD" w14:textId="77777777" w:rsidR="009E139C" w:rsidRDefault="003D45ED">
      <w:pPr>
        <w:spacing w:after="60"/>
      </w:pPr>
      <w:r>
        <w:rPr>
          <w:rStyle w:val="FootnoteReference"/>
        </w:rPr>
        <w:footnoteRef/>
      </w:r>
      <w:r>
        <w:rPr>
          <w:sz w:val="18"/>
          <w:szCs w:val="18"/>
        </w:rPr>
        <w:t xml:space="preserve">Julia Angwin, Jeff Larson, Surya Mattu and Lauren Kirchner, ‘Machine Bias: There’s Software Used Across the Country to Predict Future Criminals. And It’s Biased Against Blacks’, </w:t>
      </w:r>
      <w:r>
        <w:rPr>
          <w:i/>
          <w:iCs/>
          <w:sz w:val="18"/>
          <w:szCs w:val="18"/>
        </w:rPr>
        <w:t>ProPublica</w:t>
      </w:r>
      <w:r>
        <w:rPr>
          <w:sz w:val="18"/>
          <w:szCs w:val="18"/>
        </w:rPr>
        <w:t xml:space="preserve"> (23 May 2016); the 45% vs 23% false-positive disparity figure is from Julia Angwin and Jeff Larson, ‘ProPublica Responds to Company’s Critique of Machine Bias Story’, </w:t>
      </w:r>
      <w:r>
        <w:rPr>
          <w:i/>
          <w:iCs/>
          <w:sz w:val="18"/>
          <w:szCs w:val="18"/>
        </w:rPr>
        <w:t>ProPublica</w:t>
      </w:r>
      <w:r>
        <w:rPr>
          <w:sz w:val="18"/>
          <w:szCs w:val="18"/>
        </w:rPr>
        <w:t xml:space="preserve"> (29 July 2016).</w:t>
      </w:r>
    </w:p>
  </w:footnote>
  <w:footnote w:id="9">
    <w:p w14:paraId="595FEC4E" w14:textId="77777777" w:rsidR="009E139C" w:rsidRDefault="003D45ED">
      <w:pPr>
        <w:spacing w:after="60"/>
      </w:pPr>
      <w:r>
        <w:rPr>
          <w:rStyle w:val="FootnoteReference"/>
        </w:rPr>
        <w:footnoteRef/>
      </w:r>
      <w:r>
        <w:rPr>
          <w:sz w:val="18"/>
          <w:szCs w:val="18"/>
        </w:rPr>
        <w:t xml:space="preserve">A serviceable textbook overview is Michael S. Gazzaniga, Richard B. Ivry and George R. Mangun, </w:t>
      </w:r>
      <w:r>
        <w:rPr>
          <w:i/>
          <w:iCs/>
          <w:sz w:val="18"/>
          <w:szCs w:val="18"/>
        </w:rPr>
        <w:t>Cognitive Neuroscience: The Biology of the Mind</w:t>
      </w:r>
      <w:r>
        <w:rPr>
          <w:sz w:val="18"/>
          <w:szCs w:val="18"/>
        </w:rPr>
        <w:t xml:space="preserve"> (5th edn, W.W. Norton 2018).</w:t>
      </w:r>
    </w:p>
  </w:footnote>
  <w:footnote w:id="10">
    <w:p w14:paraId="4FF94DAB" w14:textId="77777777" w:rsidR="009E139C" w:rsidRDefault="003D45ED">
      <w:pPr>
        <w:spacing w:after="60"/>
      </w:pPr>
      <w:r>
        <w:rPr>
          <w:rStyle w:val="FootnoteReference"/>
        </w:rPr>
        <w:footnoteRef/>
      </w:r>
      <w:r>
        <w:rPr>
          <w:sz w:val="18"/>
          <w:szCs w:val="18"/>
        </w:rPr>
        <w:t xml:space="preserve">Daniel Kahneman, </w:t>
      </w:r>
      <w:r>
        <w:rPr>
          <w:i/>
          <w:iCs/>
          <w:sz w:val="18"/>
          <w:szCs w:val="18"/>
        </w:rPr>
        <w:t>Thinking, Fast and Slow</w:t>
      </w:r>
      <w:r>
        <w:rPr>
          <w:sz w:val="18"/>
          <w:szCs w:val="18"/>
        </w:rPr>
        <w:t xml:space="preserve"> (Farrar, Straus and Giroux 2011) 20–21.</w:t>
      </w:r>
    </w:p>
  </w:footnote>
  <w:footnote w:id="11">
    <w:p w14:paraId="2A257117" w14:textId="77777777" w:rsidR="009E139C" w:rsidRDefault="003D45ED">
      <w:pPr>
        <w:spacing w:after="60"/>
      </w:pPr>
      <w:r>
        <w:rPr>
          <w:rStyle w:val="FootnoteReference"/>
        </w:rPr>
        <w:footnoteRef/>
      </w:r>
      <w:r>
        <w:rPr>
          <w:sz w:val="18"/>
          <w:szCs w:val="18"/>
        </w:rPr>
        <w:t xml:space="preserve">Iuliia Kotseruba and John K. Tsotsos, ‘40 Years of Cognitive Architectures: Core Cognitive Abilities and Practical Applications’ (2020) 53(1) </w:t>
      </w:r>
      <w:r>
        <w:rPr>
          <w:i/>
          <w:iCs/>
          <w:sz w:val="18"/>
          <w:szCs w:val="18"/>
        </w:rPr>
        <w:t>Artificial Intelligence Review</w:t>
      </w:r>
      <w:r>
        <w:rPr>
          <w:sz w:val="18"/>
          <w:szCs w:val="18"/>
        </w:rPr>
        <w:t xml:space="preserve"> 17.</w:t>
      </w:r>
    </w:p>
  </w:footnote>
  <w:footnote w:id="12">
    <w:p w14:paraId="79703C45" w14:textId="77777777" w:rsidR="009E139C" w:rsidRDefault="003D45ED">
      <w:pPr>
        <w:spacing w:after="60"/>
      </w:pPr>
      <w:r>
        <w:rPr>
          <w:rStyle w:val="FootnoteReference"/>
        </w:rPr>
        <w:footnoteRef/>
      </w:r>
      <w:r>
        <w:rPr>
          <w:sz w:val="18"/>
          <w:szCs w:val="18"/>
        </w:rPr>
        <w:t xml:space="preserve">John R. Anderson, </w:t>
      </w:r>
      <w:r>
        <w:rPr>
          <w:i/>
          <w:iCs/>
          <w:sz w:val="18"/>
          <w:szCs w:val="18"/>
        </w:rPr>
        <w:t>How Can the Human Mind Occur in the Physical Universe?</w:t>
      </w:r>
      <w:r>
        <w:rPr>
          <w:sz w:val="18"/>
          <w:szCs w:val="18"/>
        </w:rPr>
        <w:t xml:space="preserve"> (Oxford University Press 2007); the title quotes Allen Newell’s last lecture, Carnegie Mellon University, 4 December 1991.</w:t>
      </w:r>
    </w:p>
  </w:footnote>
  <w:footnote w:id="13">
    <w:p w14:paraId="61C516C1" w14:textId="77777777" w:rsidR="009E139C" w:rsidRDefault="003D45ED">
      <w:pPr>
        <w:spacing w:after="60"/>
      </w:pPr>
      <w:r>
        <w:rPr>
          <w:rStyle w:val="FootnoteReference"/>
        </w:rPr>
        <w:footnoteRef/>
      </w:r>
      <w:r>
        <w:rPr>
          <w:sz w:val="18"/>
          <w:szCs w:val="18"/>
        </w:rPr>
        <w:t xml:space="preserve">John E. Laird, </w:t>
      </w:r>
      <w:r>
        <w:rPr>
          <w:i/>
          <w:iCs/>
          <w:sz w:val="18"/>
          <w:szCs w:val="18"/>
        </w:rPr>
        <w:t>The Soar Cognitive Architecture</w:t>
      </w:r>
      <w:r>
        <w:rPr>
          <w:sz w:val="18"/>
          <w:szCs w:val="18"/>
        </w:rPr>
        <w:t xml:space="preserve"> (MIT Press 2012).</w:t>
      </w:r>
    </w:p>
  </w:footnote>
  <w:footnote w:id="14">
    <w:p w14:paraId="6106D555" w14:textId="77777777" w:rsidR="009E139C" w:rsidRDefault="003D45ED">
      <w:pPr>
        <w:spacing w:after="60"/>
      </w:pPr>
      <w:r>
        <w:rPr>
          <w:rStyle w:val="FootnoteReference"/>
        </w:rPr>
        <w:footnoteRef/>
      </w:r>
      <w:r>
        <w:rPr>
          <w:sz w:val="18"/>
          <w:szCs w:val="18"/>
        </w:rPr>
        <w:t xml:space="preserve">Ron Sun, </w:t>
      </w:r>
      <w:r>
        <w:rPr>
          <w:i/>
          <w:iCs/>
          <w:sz w:val="18"/>
          <w:szCs w:val="18"/>
        </w:rPr>
        <w:t>Anatomy of the Mind: Exploring Psychological Mechanisms and Processes with the Clarion Cognitive Architecture</w:t>
      </w:r>
      <w:r>
        <w:rPr>
          <w:sz w:val="18"/>
          <w:szCs w:val="18"/>
        </w:rPr>
        <w:t xml:space="preserve"> (Oxford University Press 2016); see also Ron Sun, ‘Dual-Process Theories, Cognitive Architectures, and Hybrid Neural-Symbolic Models’ (2025) </w:t>
      </w:r>
      <w:r>
        <w:rPr>
          <w:i/>
          <w:iCs/>
          <w:sz w:val="18"/>
          <w:szCs w:val="18"/>
        </w:rPr>
        <w:t>Neurosymbolic Artificial Intelligence</w:t>
      </w:r>
      <w:r>
        <w:rPr>
          <w:sz w:val="18"/>
          <w:szCs w:val="18"/>
        </w:rPr>
        <w:t xml:space="preserve"> (advance publication, doi:10.3233/NAI-240720).</w:t>
      </w:r>
    </w:p>
  </w:footnote>
  <w:footnote w:id="15">
    <w:p w14:paraId="5E331B4F" w14:textId="77777777" w:rsidR="009E139C" w:rsidRDefault="003D45ED">
      <w:pPr>
        <w:spacing w:after="60"/>
      </w:pPr>
      <w:r>
        <w:rPr>
          <w:rStyle w:val="FootnoteReference"/>
        </w:rPr>
        <w:footnoteRef/>
      </w:r>
      <w:r>
        <w:rPr>
          <w:sz w:val="18"/>
          <w:szCs w:val="18"/>
        </w:rPr>
        <w:t xml:space="preserve">Allen Newell and Herbert A. Simon, ‘Computer Science as Empirical Inquiry: Symbols and Search’ (1976) 19(3) </w:t>
      </w:r>
      <w:r>
        <w:rPr>
          <w:i/>
          <w:iCs/>
          <w:sz w:val="18"/>
          <w:szCs w:val="18"/>
        </w:rPr>
        <w:t>Communications of the ACM</w:t>
      </w:r>
      <w:r>
        <w:rPr>
          <w:sz w:val="18"/>
          <w:szCs w:val="18"/>
        </w:rPr>
        <w:t xml:space="preserve"> 113, 116.</w:t>
      </w:r>
    </w:p>
  </w:footnote>
  <w:footnote w:id="16">
    <w:p w14:paraId="69AB8215" w14:textId="77777777" w:rsidR="009E139C" w:rsidRDefault="003D45ED">
      <w:pPr>
        <w:spacing w:after="60"/>
      </w:pPr>
      <w:r>
        <w:rPr>
          <w:rStyle w:val="FootnoteReference"/>
        </w:rPr>
        <w:footnoteRef/>
      </w:r>
      <w:r>
        <w:rPr>
          <w:sz w:val="18"/>
          <w:szCs w:val="18"/>
        </w:rPr>
        <w:t>Taylor and Taylor (n 6) 455.</w:t>
      </w:r>
    </w:p>
  </w:footnote>
  <w:footnote w:id="17">
    <w:p w14:paraId="73AA5E68" w14:textId="77777777" w:rsidR="009E139C" w:rsidRDefault="003D45ED">
      <w:pPr>
        <w:spacing w:after="60"/>
      </w:pPr>
      <w:r>
        <w:rPr>
          <w:rStyle w:val="FootnoteReference"/>
        </w:rPr>
        <w:footnoteRef/>
      </w:r>
      <w:r>
        <w:rPr>
          <w:sz w:val="18"/>
          <w:szCs w:val="18"/>
        </w:rPr>
        <w:t xml:space="preserve">George Siemens, Fernando Marmolejo-Ramos, Florence Gabriel, Kelsey Medeiros, Rebecca Marrone, Srecko Joksimovic and Maarten de Laat, ‘Human and Artificial Cognition’ (2022) 3 </w:t>
      </w:r>
      <w:r>
        <w:rPr>
          <w:i/>
          <w:iCs/>
          <w:sz w:val="18"/>
          <w:szCs w:val="18"/>
        </w:rPr>
        <w:t>Computers and Education: Artificial Intelligence</w:t>
      </w:r>
      <w:r>
        <w:rPr>
          <w:sz w:val="18"/>
          <w:szCs w:val="18"/>
        </w:rPr>
        <w:t xml:space="preserve"> 100107.</w:t>
      </w:r>
    </w:p>
  </w:footnote>
  <w:footnote w:id="18">
    <w:p w14:paraId="69F4A281" w14:textId="77777777" w:rsidR="009E139C" w:rsidRDefault="003D45ED">
      <w:pPr>
        <w:spacing w:after="60"/>
      </w:pPr>
      <w:r>
        <w:rPr>
          <w:rStyle w:val="FootnoteReference"/>
        </w:rPr>
        <w:footnoteRef/>
      </w:r>
      <w:r>
        <w:rPr>
          <w:sz w:val="18"/>
          <w:szCs w:val="18"/>
        </w:rPr>
        <w:t xml:space="preserve">Brenden M. Lake, Tomer D. Ullman, Joshua B. Tenenbaum and Samuel J. Gershman, ‘Building Machines that Learn and Think Like People’ (2017) 40 </w:t>
      </w:r>
      <w:r>
        <w:rPr>
          <w:i/>
          <w:iCs/>
          <w:sz w:val="18"/>
          <w:szCs w:val="18"/>
        </w:rPr>
        <w:t>Behavioral and Brain Sciences</w:t>
      </w:r>
      <w:r>
        <w:rPr>
          <w:sz w:val="18"/>
          <w:szCs w:val="18"/>
        </w:rPr>
        <w:t xml:space="preserve"> e253.</w:t>
      </w:r>
    </w:p>
  </w:footnote>
  <w:footnote w:id="19">
    <w:p w14:paraId="690B3043" w14:textId="77777777" w:rsidR="009E139C" w:rsidRDefault="003D45ED">
      <w:pPr>
        <w:spacing w:after="60"/>
      </w:pPr>
      <w:r>
        <w:rPr>
          <w:rStyle w:val="FootnoteReference"/>
        </w:rPr>
        <w:footnoteRef/>
      </w:r>
      <w:r>
        <w:rPr>
          <w:sz w:val="18"/>
          <w:szCs w:val="18"/>
        </w:rPr>
        <w:t xml:space="preserve">Gary Marcus and Ernest Davis, </w:t>
      </w:r>
      <w:r>
        <w:rPr>
          <w:i/>
          <w:iCs/>
          <w:sz w:val="18"/>
          <w:szCs w:val="18"/>
        </w:rPr>
        <w:t>Rebooting AI: Building Artificial Intelligence We Can Trust</w:t>
      </w:r>
      <w:r>
        <w:rPr>
          <w:sz w:val="18"/>
          <w:szCs w:val="18"/>
        </w:rPr>
        <w:t xml:space="preserve"> (Pantheon 2019).</w:t>
      </w:r>
    </w:p>
  </w:footnote>
  <w:footnote w:id="20">
    <w:p w14:paraId="6D476EC7" w14:textId="77777777" w:rsidR="009E139C" w:rsidRDefault="003D45ED">
      <w:pPr>
        <w:spacing w:after="60"/>
      </w:pPr>
      <w:r>
        <w:rPr>
          <w:rStyle w:val="FootnoteReference"/>
        </w:rPr>
        <w:footnoteRef/>
      </w:r>
      <w:r>
        <w:rPr>
          <w:sz w:val="18"/>
          <w:szCs w:val="18"/>
        </w:rPr>
        <w:t xml:space="preserve">Volodymyr Mnih and others, ‘Human-Level Control through Deep Reinforcement Learning’ (2015) 518(7540) </w:t>
      </w:r>
      <w:r>
        <w:rPr>
          <w:i/>
          <w:iCs/>
          <w:sz w:val="18"/>
          <w:szCs w:val="18"/>
        </w:rPr>
        <w:t>Nature</w:t>
      </w:r>
      <w:r>
        <w:rPr>
          <w:sz w:val="18"/>
          <w:szCs w:val="18"/>
        </w:rPr>
        <w:t xml:space="preserve"> 529 (separate networks were trained per game); Jesse Farebrother, Marlos C. Machado and Michael Bowling, ‘Generalization and Regularization in DQN’ (2018) arXiv:1810.00123, 1 (quoted).</w:t>
      </w:r>
    </w:p>
  </w:footnote>
  <w:footnote w:id="21">
    <w:p w14:paraId="6871AC78" w14:textId="77777777" w:rsidR="009E139C" w:rsidRDefault="003D45ED">
      <w:pPr>
        <w:spacing w:after="60"/>
      </w:pPr>
      <w:r>
        <w:rPr>
          <w:rStyle w:val="FootnoteReference"/>
        </w:rPr>
        <w:footnoteRef/>
      </w:r>
      <w:r>
        <w:rPr>
          <w:sz w:val="18"/>
          <w:szCs w:val="18"/>
        </w:rPr>
        <w:t xml:space="preserve">For neuroscience consensus see, e.g., NIST, ‘Brain-Inspired Computing Can Help Us Create Faster, More Energy-Efficient Devices’ (Taking Measure blog, 27 March 2018); a peer-reviewed estimate is offered in Sharmistha Sengupta and Terrence J. Sejnowski, ‘Power Consumption During Neuronal Computation’ (2014) 102(5) </w:t>
      </w:r>
      <w:r>
        <w:rPr>
          <w:i/>
          <w:iCs/>
          <w:sz w:val="18"/>
          <w:szCs w:val="18"/>
        </w:rPr>
        <w:t>Proceedings of the IEEE</w:t>
      </w:r>
      <w:r>
        <w:rPr>
          <w:sz w:val="18"/>
          <w:szCs w:val="18"/>
        </w:rPr>
        <w:t xml:space="preserve"> 738.</w:t>
      </w:r>
    </w:p>
  </w:footnote>
  <w:footnote w:id="22">
    <w:p w14:paraId="6BF27240" w14:textId="77777777" w:rsidR="009E139C" w:rsidRDefault="003D45ED">
      <w:pPr>
        <w:spacing w:after="60"/>
      </w:pPr>
      <w:r>
        <w:rPr>
          <w:rStyle w:val="FootnoteReference"/>
        </w:rPr>
        <w:footnoteRef/>
      </w:r>
      <w:r>
        <w:rPr>
          <w:sz w:val="18"/>
          <w:szCs w:val="18"/>
        </w:rPr>
        <w:t xml:space="preserve">Emma Strubell, Ananya Ganesh and Andrew McCallum, ‘Energy and Policy Considerations for Deep Learning in NLP’ in </w:t>
      </w:r>
      <w:r>
        <w:rPr>
          <w:i/>
          <w:iCs/>
          <w:sz w:val="18"/>
          <w:szCs w:val="18"/>
        </w:rPr>
        <w:t>Proceedings of the 57th Annual Meeting of the Association for Computational Linguistics</w:t>
      </w:r>
      <w:r>
        <w:rPr>
          <w:sz w:val="18"/>
          <w:szCs w:val="18"/>
        </w:rPr>
        <w:t xml:space="preserve"> (ACL 2019) 3645, table 3 and discussion at 3647–3648.</w:t>
      </w:r>
    </w:p>
  </w:footnote>
  <w:footnote w:id="23">
    <w:p w14:paraId="4F15E85A" w14:textId="77777777" w:rsidR="009E139C" w:rsidRDefault="003D45ED">
      <w:pPr>
        <w:spacing w:after="60"/>
      </w:pPr>
      <w:r>
        <w:rPr>
          <w:rStyle w:val="FootnoteReference"/>
        </w:rPr>
        <w:footnoteRef/>
      </w:r>
      <w:r>
        <w:rPr>
          <w:sz w:val="18"/>
          <w:szCs w:val="18"/>
        </w:rPr>
        <w:t xml:space="preserve">Kasper Groes Albin Ludvigsen, ‘The Carbon Footprint of GPT-4’, </w:t>
      </w:r>
      <w:r>
        <w:rPr>
          <w:i/>
          <w:iCs/>
          <w:sz w:val="18"/>
          <w:szCs w:val="18"/>
        </w:rPr>
        <w:t>Towards Data Science</w:t>
      </w:r>
      <w:r>
        <w:rPr>
          <w:sz w:val="18"/>
          <w:szCs w:val="18"/>
        </w:rPr>
        <w:t xml:space="preserve"> (18 July 2023), drawing on leaked compute estimates and applying standard grid-emission factors.</w:t>
      </w:r>
    </w:p>
  </w:footnote>
  <w:footnote w:id="24">
    <w:p w14:paraId="167F9C24" w14:textId="77777777" w:rsidR="009E139C" w:rsidRDefault="003D45ED">
      <w:pPr>
        <w:spacing w:after="60"/>
      </w:pPr>
      <w:r>
        <w:rPr>
          <w:rStyle w:val="FootnoteReference"/>
        </w:rPr>
        <w:footnoteRef/>
      </w:r>
      <w:r>
        <w:rPr>
          <w:sz w:val="18"/>
          <w:szCs w:val="18"/>
        </w:rPr>
        <w:t xml:space="preserve">Michael McCloskey and Neal J. Cohen, ‘Catastrophic Interference in Connectionist Networks: The Sequential Learning Problem’ (1989) 24 </w:t>
      </w:r>
      <w:r>
        <w:rPr>
          <w:i/>
          <w:iCs/>
          <w:sz w:val="18"/>
          <w:szCs w:val="18"/>
        </w:rPr>
        <w:t>Psychology of Learning and Motivation</w:t>
      </w:r>
      <w:r>
        <w:rPr>
          <w:sz w:val="18"/>
          <w:szCs w:val="18"/>
        </w:rPr>
        <w:t xml:space="preserve"> 109; for a review, see Robert M. French, ‘Catastrophic Forgetting in Connectionist Networks’ (1999) 3(4) </w:t>
      </w:r>
      <w:r>
        <w:rPr>
          <w:i/>
          <w:iCs/>
          <w:sz w:val="18"/>
          <w:szCs w:val="18"/>
        </w:rPr>
        <w:t>Trends in Cognitive Sciences</w:t>
      </w:r>
      <w:r>
        <w:rPr>
          <w:sz w:val="18"/>
          <w:szCs w:val="18"/>
        </w:rPr>
        <w:t xml:space="preserve"> 128.</w:t>
      </w:r>
    </w:p>
  </w:footnote>
  <w:footnote w:id="25">
    <w:p w14:paraId="3895C395" w14:textId="77777777" w:rsidR="009E139C" w:rsidRDefault="003D45ED">
      <w:pPr>
        <w:spacing w:after="60"/>
      </w:pPr>
      <w:r>
        <w:rPr>
          <w:rStyle w:val="FootnoteReference"/>
        </w:rPr>
        <w:footnoteRef/>
      </w:r>
      <w:r>
        <w:rPr>
          <w:sz w:val="18"/>
          <w:szCs w:val="18"/>
        </w:rPr>
        <w:t xml:space="preserve">Homa Hosseinmardi and others, ‘Examining the Consumption of Radical Content on YouTube’ (2021) 118(32) </w:t>
      </w:r>
      <w:r>
        <w:rPr>
          <w:i/>
          <w:iCs/>
          <w:sz w:val="18"/>
          <w:szCs w:val="18"/>
        </w:rPr>
        <w:t>Proceedings of the National Academy of Sciences</w:t>
      </w:r>
      <w:r>
        <w:rPr>
          <w:sz w:val="18"/>
          <w:szCs w:val="18"/>
        </w:rPr>
        <w:t xml:space="preserve"> e2101967118.</w:t>
      </w:r>
    </w:p>
  </w:footnote>
  <w:footnote w:id="26">
    <w:p w14:paraId="647CEEF0" w14:textId="77777777" w:rsidR="009E139C" w:rsidRDefault="003D45ED">
      <w:pPr>
        <w:spacing w:after="60"/>
      </w:pPr>
      <w:r>
        <w:rPr>
          <w:rStyle w:val="FootnoteReference"/>
        </w:rPr>
        <w:footnoteRef/>
      </w:r>
      <w:r>
        <w:rPr>
          <w:sz w:val="18"/>
          <w:szCs w:val="18"/>
        </w:rPr>
        <w:t>Finale Doshi-Velez and Been Kim, ‘Towards a Rigorous Science of Interpretable Machine Learning’ (2017) arXiv:1702.08608, 2.</w:t>
      </w:r>
    </w:p>
  </w:footnote>
  <w:footnote w:id="27">
    <w:p w14:paraId="27E755CA" w14:textId="77777777" w:rsidR="009E139C" w:rsidRDefault="003D45ED">
      <w:pPr>
        <w:spacing w:after="60"/>
      </w:pPr>
      <w:r>
        <w:rPr>
          <w:rStyle w:val="FootnoteReference"/>
        </w:rPr>
        <w:footnoteRef/>
      </w:r>
      <w:r>
        <w:rPr>
          <w:sz w:val="18"/>
          <w:szCs w:val="18"/>
        </w:rPr>
        <w:t xml:space="preserve">David Gunning and David W. Aha, ‘DARPA’s Explainable Artificial Intelligence (XAI) Program’ (2019) 40(2) </w:t>
      </w:r>
      <w:r>
        <w:rPr>
          <w:i/>
          <w:iCs/>
          <w:sz w:val="18"/>
          <w:szCs w:val="18"/>
        </w:rPr>
        <w:t>AI Magazine</w:t>
      </w:r>
      <w:r>
        <w:rPr>
          <w:sz w:val="18"/>
          <w:szCs w:val="18"/>
        </w:rPr>
        <w:t xml:space="preserve"> 44, 44.</w:t>
      </w:r>
    </w:p>
  </w:footnote>
  <w:footnote w:id="28">
    <w:p w14:paraId="70D2EFBC" w14:textId="77777777" w:rsidR="009E139C" w:rsidRDefault="003D45ED">
      <w:pPr>
        <w:spacing w:after="60"/>
      </w:pPr>
      <w:r>
        <w:rPr>
          <w:rStyle w:val="FootnoteReference"/>
        </w:rPr>
        <w:footnoteRef/>
      </w:r>
      <w:r>
        <w:rPr>
          <w:sz w:val="18"/>
          <w:szCs w:val="18"/>
        </w:rPr>
        <w:t xml:space="preserve">Alejandro Barredo Arrieta and others, ‘Explainable Artificial Intelligence (XAI): Concepts, Taxonomies, Opportunities and Challenges toward Responsible AI’ (2020) 58 </w:t>
      </w:r>
      <w:r>
        <w:rPr>
          <w:i/>
          <w:iCs/>
          <w:sz w:val="18"/>
          <w:szCs w:val="18"/>
        </w:rPr>
        <w:t>Information Fusion</w:t>
      </w:r>
      <w:r>
        <w:rPr>
          <w:sz w:val="18"/>
          <w:szCs w:val="18"/>
        </w:rPr>
        <w:t xml:space="preserve"> 82; Plamen P. Angelov, Eduardo A. Soares, Richard Jiang, Nicholas I. Arnold and Peter M. Atkinson, ‘Explainable Artificial Intelligence: An Analytical Review’ (2021) 11(5) </w:t>
      </w:r>
      <w:r>
        <w:rPr>
          <w:i/>
          <w:iCs/>
          <w:sz w:val="18"/>
          <w:szCs w:val="18"/>
        </w:rPr>
        <w:t>WIREs Data Mining and Knowledge Discovery</w:t>
      </w:r>
      <w:r>
        <w:rPr>
          <w:sz w:val="18"/>
          <w:szCs w:val="18"/>
        </w:rPr>
        <w:t xml:space="preserve"> e1424; Melkamu Mersha, Khang Lam, Joseph Wood, Ali K. AlShami and Jugal Kalita, ‘Explainable Artificial Intellige</w:t>
      </w:r>
      <w:r>
        <w:rPr>
          <w:sz w:val="18"/>
          <w:szCs w:val="18"/>
        </w:rPr>
        <w:t xml:space="preserve">nce: A Survey of Needs, Techniques, Applications, and Future Direction’ (2024) 599 </w:t>
      </w:r>
      <w:r>
        <w:rPr>
          <w:i/>
          <w:iCs/>
          <w:sz w:val="18"/>
          <w:szCs w:val="18"/>
        </w:rPr>
        <w:t>Neurocomputing</w:t>
      </w:r>
      <w:r>
        <w:rPr>
          <w:sz w:val="18"/>
          <w:szCs w:val="18"/>
        </w:rPr>
        <w:t xml:space="preserve"> 128111.</w:t>
      </w:r>
    </w:p>
  </w:footnote>
  <w:footnote w:id="29">
    <w:p w14:paraId="6743F8D4" w14:textId="77777777" w:rsidR="009E139C" w:rsidRDefault="003D45ED">
      <w:pPr>
        <w:spacing w:after="60"/>
      </w:pPr>
      <w:r>
        <w:rPr>
          <w:rStyle w:val="FootnoteReference"/>
        </w:rPr>
        <w:footnoteRef/>
      </w:r>
      <w:r>
        <w:rPr>
          <w:sz w:val="18"/>
          <w:szCs w:val="18"/>
        </w:rPr>
        <w:t>Molnar (n 1).</w:t>
      </w:r>
    </w:p>
  </w:footnote>
  <w:footnote w:id="30">
    <w:p w14:paraId="35ADCED5" w14:textId="77777777" w:rsidR="009E139C" w:rsidRDefault="003D45ED">
      <w:pPr>
        <w:spacing w:after="60"/>
      </w:pPr>
      <w:r>
        <w:rPr>
          <w:rStyle w:val="FootnoteReference"/>
        </w:rPr>
        <w:footnoteRef/>
      </w:r>
      <w:r>
        <w:rPr>
          <w:sz w:val="18"/>
          <w:szCs w:val="18"/>
        </w:rPr>
        <w:t xml:space="preserve">Rosa Lavelle-Hill, Gavin Smith, Hanne Deininger and Kou Murayama, ‘An Explainable Artificial Intelligence Handbook for Psychologists: Methods, Opportunities, and Challenges’ (2025) </w:t>
      </w:r>
      <w:r>
        <w:rPr>
          <w:i/>
          <w:iCs/>
          <w:sz w:val="18"/>
          <w:szCs w:val="18"/>
        </w:rPr>
        <w:t>Psychological Methods</w:t>
      </w:r>
      <w:r>
        <w:rPr>
          <w:sz w:val="18"/>
          <w:szCs w:val="18"/>
        </w:rPr>
        <w:t xml:space="preserve"> (advance publication, doi:10.1037/met0000772).</w:t>
      </w:r>
    </w:p>
  </w:footnote>
  <w:footnote w:id="31">
    <w:p w14:paraId="67E497D8" w14:textId="77777777" w:rsidR="009E139C" w:rsidRDefault="003D45ED">
      <w:pPr>
        <w:spacing w:after="60"/>
      </w:pPr>
      <w:r>
        <w:rPr>
          <w:rStyle w:val="FootnoteReference"/>
        </w:rPr>
        <w:footnoteRef/>
      </w:r>
      <w:r>
        <w:rPr>
          <w:sz w:val="18"/>
          <w:szCs w:val="18"/>
        </w:rPr>
        <w:t>Regulation (EU) 2024/1689 of the European Parliament and of the Council of 13 June 2024 laying down harmonised rules on artificial intelligence (Artificial Intelligence Act) [2024] OJ L 1689/1, art 13(1).</w:t>
      </w:r>
    </w:p>
  </w:footnote>
  <w:footnote w:id="32">
    <w:p w14:paraId="47A22AD6" w14:textId="77777777" w:rsidR="009E139C" w:rsidRDefault="003D45ED">
      <w:pPr>
        <w:spacing w:after="60"/>
      </w:pPr>
      <w:r>
        <w:rPr>
          <w:rStyle w:val="FootnoteReference"/>
        </w:rPr>
        <w:footnoteRef/>
      </w:r>
      <w:r>
        <w:rPr>
          <w:sz w:val="18"/>
          <w:szCs w:val="18"/>
        </w:rPr>
        <w:t>ibid art 99(3); art 99(4) sets the lower 15 M EUR / 3% tier for breaches of obligations applicable to high-risk systems.</w:t>
      </w:r>
    </w:p>
  </w:footnote>
  <w:footnote w:id="33">
    <w:p w14:paraId="335226C4" w14:textId="77777777" w:rsidR="009E139C" w:rsidRDefault="003D45ED">
      <w:pPr>
        <w:spacing w:after="60"/>
      </w:pPr>
      <w:r>
        <w:rPr>
          <w:rStyle w:val="FootnoteReference"/>
        </w:rPr>
        <w:footnoteRef/>
      </w:r>
      <w:r>
        <w:rPr>
          <w:sz w:val="18"/>
          <w:szCs w:val="18"/>
        </w:rPr>
        <w:t>Taylor and Taylor (n 6).</w:t>
      </w:r>
    </w:p>
  </w:footnote>
  <w:footnote w:id="34">
    <w:p w14:paraId="71A5EA91" w14:textId="77777777" w:rsidR="009E139C" w:rsidRDefault="003D45ED">
      <w:pPr>
        <w:spacing w:after="60"/>
      </w:pPr>
      <w:r>
        <w:rPr>
          <w:rStyle w:val="FootnoteReference"/>
        </w:rPr>
        <w:footnoteRef/>
      </w:r>
      <w:r>
        <w:rPr>
          <w:sz w:val="18"/>
          <w:szCs w:val="18"/>
        </w:rPr>
        <w:t xml:space="preserve">Julia K. Winkler and others, ‘Association Between Surgical Skin Markings in Dermoscopic Images and Diagnostic Performance of a Deep Learning Convolutional Neural Network for Melanoma Recognition’ (2019) 155(10) </w:t>
      </w:r>
      <w:r>
        <w:rPr>
          <w:i/>
          <w:iCs/>
          <w:sz w:val="18"/>
          <w:szCs w:val="18"/>
        </w:rPr>
        <w:t>JAMA Dermatology</w:t>
      </w:r>
      <w:r>
        <w:rPr>
          <w:sz w:val="18"/>
          <w:szCs w:val="18"/>
        </w:rPr>
        <w:t xml:space="preserve"> 1135; Julia K. Winkler and others, ‘Association Between Different Scale Bars in Dermoscopic Images and Diagnostic Performance of a Market-Approved Deep Learning Convolutional Neural Network for Melanoma Recognition’ (2021) 145 </w:t>
      </w:r>
      <w:r>
        <w:rPr>
          <w:i/>
          <w:iCs/>
          <w:sz w:val="18"/>
          <w:szCs w:val="18"/>
        </w:rPr>
        <w:t>European Journal of Cancer</w:t>
      </w:r>
      <w:r>
        <w:rPr>
          <w:sz w:val="18"/>
          <w:szCs w:val="18"/>
        </w:rPr>
        <w:t xml:space="preserve"> 146.</w:t>
      </w:r>
    </w:p>
  </w:footnote>
  <w:footnote w:id="35">
    <w:p w14:paraId="0524B3D1" w14:textId="77777777" w:rsidR="009E139C" w:rsidRDefault="003D45ED">
      <w:pPr>
        <w:spacing w:after="60"/>
      </w:pPr>
      <w:r>
        <w:rPr>
          <w:rStyle w:val="FootnoteReference"/>
        </w:rPr>
        <w:footnoteRef/>
      </w:r>
      <w:r>
        <w:rPr>
          <w:sz w:val="18"/>
          <w:szCs w:val="18"/>
        </w:rPr>
        <w:t>Rudin (n 7).</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DAF542" w14:textId="77777777" w:rsidR="009E139C" w:rsidRDefault="003D45ED">
    <w:pPr>
      <w:jc w:val="right"/>
    </w:pPr>
    <w:r>
      <w:rPr>
        <w:i/>
        <w:iCs/>
        <w:color w:val="595959"/>
        <w:sz w:val="18"/>
        <w:szCs w:val="18"/>
      </w:rPr>
      <w:t>Session 1 Reading · Artificial Cognition and Explainable AI</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134F3C"/>
    <w:multiLevelType w:val="hybridMultilevel"/>
    <w:tmpl w:val="F698ADB0"/>
    <w:lvl w:ilvl="0" w:tplc="D6340B98">
      <w:start w:val="1"/>
      <w:numFmt w:val="bullet"/>
      <w:lvlText w:val="•"/>
      <w:lvlJc w:val="left"/>
      <w:pPr>
        <w:ind w:left="720" w:hanging="360"/>
      </w:pPr>
    </w:lvl>
    <w:lvl w:ilvl="1" w:tplc="05A4CC22">
      <w:numFmt w:val="decimal"/>
      <w:lvlText w:val=""/>
      <w:lvlJc w:val="left"/>
    </w:lvl>
    <w:lvl w:ilvl="2" w:tplc="AE907F66">
      <w:numFmt w:val="decimal"/>
      <w:lvlText w:val=""/>
      <w:lvlJc w:val="left"/>
    </w:lvl>
    <w:lvl w:ilvl="3" w:tplc="E4D09846">
      <w:numFmt w:val="decimal"/>
      <w:lvlText w:val=""/>
      <w:lvlJc w:val="left"/>
    </w:lvl>
    <w:lvl w:ilvl="4" w:tplc="515E0A86">
      <w:numFmt w:val="decimal"/>
      <w:lvlText w:val=""/>
      <w:lvlJc w:val="left"/>
    </w:lvl>
    <w:lvl w:ilvl="5" w:tplc="FB0455E2">
      <w:numFmt w:val="decimal"/>
      <w:lvlText w:val=""/>
      <w:lvlJc w:val="left"/>
    </w:lvl>
    <w:lvl w:ilvl="6" w:tplc="12BAE49A">
      <w:numFmt w:val="decimal"/>
      <w:lvlText w:val=""/>
      <w:lvlJc w:val="left"/>
    </w:lvl>
    <w:lvl w:ilvl="7" w:tplc="931ADA9A">
      <w:numFmt w:val="decimal"/>
      <w:lvlText w:val=""/>
      <w:lvlJc w:val="left"/>
    </w:lvl>
    <w:lvl w:ilvl="8" w:tplc="05B652CE">
      <w:numFmt w:val="decimal"/>
      <w:lvlText w:val=""/>
      <w:lvlJc w:val="left"/>
    </w:lvl>
  </w:abstractNum>
  <w:abstractNum w:abstractNumId="1" w15:restartNumberingAfterBreak="0">
    <w:nsid w:val="3DBF0E45"/>
    <w:multiLevelType w:val="hybridMultilevel"/>
    <w:tmpl w:val="40488C76"/>
    <w:lvl w:ilvl="0" w:tplc="F30259F6">
      <w:start w:val="1"/>
      <w:numFmt w:val="bullet"/>
      <w:lvlText w:val="●"/>
      <w:lvlJc w:val="left"/>
      <w:pPr>
        <w:ind w:left="720" w:hanging="360"/>
      </w:pPr>
    </w:lvl>
    <w:lvl w:ilvl="1" w:tplc="A1A8282C">
      <w:start w:val="1"/>
      <w:numFmt w:val="bullet"/>
      <w:lvlText w:val="○"/>
      <w:lvlJc w:val="left"/>
      <w:pPr>
        <w:ind w:left="1440" w:hanging="360"/>
      </w:pPr>
    </w:lvl>
    <w:lvl w:ilvl="2" w:tplc="8C4A5838">
      <w:start w:val="1"/>
      <w:numFmt w:val="bullet"/>
      <w:lvlText w:val="■"/>
      <w:lvlJc w:val="left"/>
      <w:pPr>
        <w:ind w:left="2160" w:hanging="360"/>
      </w:pPr>
    </w:lvl>
    <w:lvl w:ilvl="3" w:tplc="ACE42B94">
      <w:start w:val="1"/>
      <w:numFmt w:val="bullet"/>
      <w:lvlText w:val="●"/>
      <w:lvlJc w:val="left"/>
      <w:pPr>
        <w:ind w:left="2880" w:hanging="360"/>
      </w:pPr>
    </w:lvl>
    <w:lvl w:ilvl="4" w:tplc="440850F2">
      <w:start w:val="1"/>
      <w:numFmt w:val="bullet"/>
      <w:lvlText w:val="○"/>
      <w:lvlJc w:val="left"/>
      <w:pPr>
        <w:ind w:left="3600" w:hanging="360"/>
      </w:pPr>
    </w:lvl>
    <w:lvl w:ilvl="5" w:tplc="E3942BE4">
      <w:start w:val="1"/>
      <w:numFmt w:val="bullet"/>
      <w:lvlText w:val="■"/>
      <w:lvlJc w:val="left"/>
      <w:pPr>
        <w:ind w:left="4320" w:hanging="360"/>
      </w:pPr>
    </w:lvl>
    <w:lvl w:ilvl="6" w:tplc="4B186DB8">
      <w:start w:val="1"/>
      <w:numFmt w:val="bullet"/>
      <w:lvlText w:val="●"/>
      <w:lvlJc w:val="left"/>
      <w:pPr>
        <w:ind w:left="5040" w:hanging="360"/>
      </w:pPr>
    </w:lvl>
    <w:lvl w:ilvl="7" w:tplc="BA84E87E">
      <w:start w:val="1"/>
      <w:numFmt w:val="bullet"/>
      <w:lvlText w:val="●"/>
      <w:lvlJc w:val="left"/>
      <w:pPr>
        <w:ind w:left="5760" w:hanging="360"/>
      </w:pPr>
    </w:lvl>
    <w:lvl w:ilvl="8" w:tplc="C0E0D72A">
      <w:start w:val="1"/>
      <w:numFmt w:val="bullet"/>
      <w:lvlText w:val="●"/>
      <w:lvlJc w:val="left"/>
      <w:pPr>
        <w:ind w:left="6480" w:hanging="360"/>
      </w:pPr>
    </w:lvl>
  </w:abstractNum>
  <w:abstractNum w:abstractNumId="2" w15:restartNumberingAfterBreak="0">
    <w:nsid w:val="5F03315A"/>
    <w:multiLevelType w:val="hybridMultilevel"/>
    <w:tmpl w:val="F0EC1D7A"/>
    <w:lvl w:ilvl="0" w:tplc="10DC0434">
      <w:start w:val="1"/>
      <w:numFmt w:val="decimal"/>
      <w:lvlText w:val="%1."/>
      <w:lvlJc w:val="left"/>
      <w:pPr>
        <w:ind w:left="720" w:hanging="360"/>
      </w:pPr>
    </w:lvl>
    <w:lvl w:ilvl="1" w:tplc="AC56E090">
      <w:numFmt w:val="decimal"/>
      <w:lvlText w:val=""/>
      <w:lvlJc w:val="left"/>
    </w:lvl>
    <w:lvl w:ilvl="2" w:tplc="74D20D8A">
      <w:numFmt w:val="decimal"/>
      <w:lvlText w:val=""/>
      <w:lvlJc w:val="left"/>
    </w:lvl>
    <w:lvl w:ilvl="3" w:tplc="B28C311A">
      <w:numFmt w:val="decimal"/>
      <w:lvlText w:val=""/>
      <w:lvlJc w:val="left"/>
    </w:lvl>
    <w:lvl w:ilvl="4" w:tplc="FE64EF1C">
      <w:numFmt w:val="decimal"/>
      <w:lvlText w:val=""/>
      <w:lvlJc w:val="left"/>
    </w:lvl>
    <w:lvl w:ilvl="5" w:tplc="83028594">
      <w:numFmt w:val="decimal"/>
      <w:lvlText w:val=""/>
      <w:lvlJc w:val="left"/>
    </w:lvl>
    <w:lvl w:ilvl="6" w:tplc="E2E892F0">
      <w:numFmt w:val="decimal"/>
      <w:lvlText w:val=""/>
      <w:lvlJc w:val="left"/>
    </w:lvl>
    <w:lvl w:ilvl="7" w:tplc="8BB64CFC">
      <w:numFmt w:val="decimal"/>
      <w:lvlText w:val=""/>
      <w:lvlJc w:val="left"/>
    </w:lvl>
    <w:lvl w:ilvl="8" w:tplc="DC125232">
      <w:numFmt w:val="decimal"/>
      <w:lvlText w:val=""/>
      <w:lvlJc w:val="left"/>
    </w:lvl>
  </w:abstractNum>
  <w:num w:numId="1" w16cid:durableId="1209955308">
    <w:abstractNumId w:val="1"/>
    <w:lvlOverride w:ilvl="0">
      <w:startOverride w:val="1"/>
    </w:lvlOverride>
  </w:num>
  <w:num w:numId="2" w16cid:durableId="1177503875">
    <w:abstractNumId w:val="2"/>
    <w:lvlOverride w:ilvl="0">
      <w:startOverride w:val="1"/>
    </w:lvlOverride>
  </w:num>
  <w:num w:numId="3" w16cid:durableId="105966628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E139C"/>
    <w:rsid w:val="003D45ED"/>
    <w:rsid w:val="009E139C"/>
    <w:rsid w:val="00C86D15"/>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629F65"/>
  <w15:docId w15:val="{188CD799-348A-4201-8BFF-CAD9A9D88D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AU" w:eastAsia="en-A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80"/>
      <w:outlineLvl w:val="0"/>
    </w:pPr>
    <w:rPr>
      <w:b/>
      <w:bCs/>
      <w:color w:val="1F3864"/>
      <w:sz w:val="30"/>
      <w:szCs w:val="30"/>
    </w:rPr>
  </w:style>
  <w:style w:type="paragraph" w:styleId="Heading2">
    <w:name w:val="heading 2"/>
    <w:uiPriority w:val="9"/>
    <w:unhideWhenUsed/>
    <w:qFormat/>
    <w:pPr>
      <w:spacing w:before="240" w:after="140"/>
      <w:outlineLvl w:val="1"/>
    </w:pPr>
    <w:rPr>
      <w:b/>
      <w:bCs/>
      <w:color w:val="1F3864"/>
      <w:sz w:val="26"/>
      <w:szCs w:val="26"/>
    </w:rPr>
  </w:style>
  <w:style w:type="paragraph" w:styleId="Heading3">
    <w:name w:val="heading 3"/>
    <w:uiPriority w:val="9"/>
    <w:semiHidden/>
    <w:unhideWhenUsed/>
    <w:qFormat/>
    <w:pPr>
      <w:spacing w:before="200" w:after="120"/>
      <w:outlineLvl w:val="2"/>
    </w:pPr>
    <w:rPr>
      <w:b/>
      <w:bCs/>
      <w:i/>
      <w:iCs/>
      <w:color w:val="2E5496"/>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17</Pages>
  <Words>5340</Words>
  <Characters>31668</Characters>
  <Application>Microsoft Office Word</Application>
  <DocSecurity>0</DocSecurity>
  <Lines>597</Lines>
  <Paragraphs>243</Paragraphs>
  <ScaleCrop>false</ScaleCrop>
  <Company/>
  <LinksUpToDate>false</LinksUpToDate>
  <CharactersWithSpaces>36765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From Black Boxes to Glass Boxes</dc:title>
  <dc:creator>Fernando Marmolejo-Ramos</dc:creator>
  <cp:lastModifiedBy>Fernando Marmolejo Ramos</cp:lastModifiedBy>
  <cp:revision>2</cp:revision>
  <dcterms:created xsi:type="dcterms:W3CDTF">2026-05-07T11:48:00Z</dcterms:created>
  <dcterms:modified xsi:type="dcterms:W3CDTF">2026-05-11T07:16:00Z</dcterms:modified>
</cp:coreProperties>
</file>