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Activities Session 3 (Post-Hoc Local Explanations in Action)</w:t>
      </w:r>
    </w:p>
    <w:p>
      <w:pPr>
        <w:pStyle w:val="Normal"/>
        <w:rPr>
          <w:b/>
          <w:bCs/>
        </w:rPr>
      </w:pPr>
      <w:r>
        <w:rPr>
          <w:b/>
          <w:bCs/>
        </w:rPr>
        <w:t>Topics</w:t>
      </w:r>
    </w:p>
    <w:p>
      <w:pPr>
        <w:pStyle w:val="Normal"/>
        <w:numPr>
          <w:ilvl w:val="0"/>
          <w:numId w:val="1"/>
        </w:numPr>
        <w:rPr/>
      </w:pPr>
      <w:r>
        <w:rPr/>
        <w:t xml:space="preserve">The local-post-hoc quadrant: Why regulatory and social demands dominate industry tooling. </w:t>
      </w:r>
    </w:p>
    <w:p>
      <w:pPr>
        <w:pStyle w:val="Normal"/>
        <w:numPr>
          <w:ilvl w:val="0"/>
          <w:numId w:val="1"/>
        </w:numPr>
        <w:rPr/>
      </w:pPr>
      <w:r>
        <w:rPr/>
        <w:t xml:space="preserve">Feature attribution mechanics: Mathematical foundations of LIME and SHAP. </w:t>
      </w:r>
    </w:p>
    <w:p>
      <w:pPr>
        <w:pStyle w:val="Normal"/>
        <w:numPr>
          <w:ilvl w:val="0"/>
          <w:numId w:val="1"/>
        </w:numPr>
        <w:rPr/>
      </w:pPr>
      <w:r>
        <w:rPr/>
        <w:t xml:space="preserve">Visualizing explanations: Reading waterfall plots, beeswarm charts, and local surrogate surfaces. </w:t>
      </w:r>
    </w:p>
    <w:p>
      <w:pPr>
        <w:pStyle w:val="Normal"/>
        <w:numPr>
          <w:ilvl w:val="0"/>
          <w:numId w:val="1"/>
        </w:numPr>
        <w:rPr/>
      </w:pPr>
      <w:r>
        <w:rPr/>
        <w:t xml:space="preserve">The "disagreement problem" and stability traps: Handling unstable feature rankings across runs. </w:t>
      </w:r>
    </w:p>
    <w:p>
      <w:pPr>
        <w:pStyle w:val="Normal"/>
        <w:numPr>
          <w:ilvl w:val="0"/>
          <w:numId w:val="1"/>
        </w:numPr>
        <w:rPr/>
      </w:pPr>
      <w:r>
        <w:rPr/>
        <w:t xml:space="preserve">Algorithmic recourse: Translating post-hoc findings into actionable domain insights. </w:t>
      </w:r>
    </w:p>
    <w:p>
      <w:pPr>
        <w:pStyle w:val="Normal"/>
        <w:rPr>
          <w:b/>
          <w:bCs/>
        </w:rPr>
      </w:pPr>
      <w:r>
        <w:rPr>
          <w:b/>
          <w:bCs/>
        </w:rPr>
        <w:t>Learning Objectives</w:t>
      </w:r>
    </w:p>
    <w:p>
      <w:pPr>
        <w:pStyle w:val="Normal"/>
        <w:numPr>
          <w:ilvl w:val="0"/>
          <w:numId w:val="2"/>
        </w:numPr>
        <w:rPr/>
      </w:pPr>
      <w:r>
        <w:rPr/>
        <w:t xml:space="preserve">Interpret and cross-validate LIME coefficients and SHAP values generated from an organizational psychology model. </w:t>
      </w:r>
    </w:p>
    <w:p>
      <w:pPr>
        <w:pStyle w:val="Normal"/>
        <w:numPr>
          <w:ilvl w:val="0"/>
          <w:numId w:val="2"/>
        </w:numPr>
        <w:rPr/>
      </w:pPr>
      <w:r>
        <w:rPr/>
        <w:t xml:space="preserve">Evaluate how modifications to hyper-parameters (neighbourhood width, sample size) affect the fidelity of local approximations. </w:t>
      </w:r>
    </w:p>
    <w:p>
      <w:pPr>
        <w:pStyle w:val="Normal"/>
        <w:numPr>
          <w:ilvl w:val="0"/>
          <w:numId w:val="2"/>
        </w:numPr>
        <w:rPr/>
      </w:pPr>
      <w:r>
        <w:rPr/>
        <w:t xml:space="preserve">Diagnose validation failures, including local linear approximation errors and seed-based ranking shifts. </w:t>
      </w:r>
    </w:p>
    <w:p>
      <w:pPr>
        <w:pStyle w:val="Normal"/>
        <w:numPr>
          <w:ilvl w:val="0"/>
          <w:numId w:val="2"/>
        </w:numPr>
        <w:rPr/>
      </w:pPr>
      <w:r>
        <w:rPr/>
        <w:t xml:space="preserve">Formulate technical recommendations for balancing global additive trends with local straight-line surrogates. </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Session Schedule</w:t>
      </w:r>
    </w:p>
    <w:p>
      <w:pPr>
        <w:pStyle w:val="Normal"/>
        <w:numPr>
          <w:ilvl w:val="0"/>
          <w:numId w:val="3"/>
        </w:numPr>
        <w:rPr/>
      </w:pPr>
      <w:r>
        <w:rPr>
          <w:b/>
          <w:bCs/>
        </w:rPr>
        <w:t>Key session intro to the topic (1h):</w:t>
      </w:r>
      <w:r>
        <w:rPr/>
        <w:t xml:space="preserve"> Turning the map to the toolkit—LIME, SHAP, and the mathematical pedigree of post-hoc tools. </w:t>
      </w:r>
    </w:p>
    <w:p>
      <w:pPr>
        <w:pStyle w:val="Normal"/>
        <w:numPr>
          <w:ilvl w:val="0"/>
          <w:numId w:val="3"/>
        </w:numPr>
        <w:rPr/>
      </w:pPr>
      <w:r>
        <w:rPr>
          <w:b/>
          <w:bCs/>
        </w:rPr>
        <w:t>Activities to be done after 1h session/topic presentation</w:t>
      </w:r>
    </w:p>
    <w:p>
      <w:pPr>
        <w:pStyle w:val="Normal"/>
        <w:rPr/>
      </w:pPr>
      <w:r>
        <w:rPr/>
      </w:r>
    </w:p>
    <w:p>
      <w:pPr>
        <w:pStyle w:val="Normal"/>
        <w:jc w:val="center"/>
        <w:rPr>
          <w:color w:themeColor="accent6" w:val="4EA72E"/>
        </w:rPr>
      </w:pPr>
      <w:r>
        <w:rPr>
          <w:color w:themeColor="accent6" w:val="4EA72E"/>
        </w:rPr>
        <w:t>== break (30’) ==</w:t>
      </w:r>
    </w:p>
    <w:p>
      <w:pPr>
        <w:pStyle w:val="Normal"/>
        <w:ind w:start="720"/>
        <w:rPr/>
      </w:pPr>
      <w:r>
        <w:rPr/>
      </w:r>
    </w:p>
    <w:p>
      <w:pPr>
        <w:pStyle w:val="Normal"/>
        <w:numPr>
          <w:ilvl w:val="0"/>
          <w:numId w:val="3"/>
        </w:numPr>
        <w:rPr/>
      </w:pPr>
      <w:r>
        <w:rPr>
          <w:b/>
          <w:bCs/>
        </w:rPr>
        <w:t>Activity 1 (2.5h):</w:t>
      </w:r>
      <w:r>
        <w:rPr/>
        <w:t xml:space="preserve"> Stress-Testing Explanations with R Shiny</w:t>
      </w:r>
    </w:p>
    <w:p>
      <w:pPr>
        <w:pStyle w:val="Normal"/>
        <w:rPr>
          <w:color w:themeColor="accent6" w:val="4EA72E"/>
        </w:rPr>
      </w:pPr>
      <w:r>
        <w:rPr>
          <w:color w:themeColor="accent6" w:val="4EA72E"/>
        </w:rPr>
      </w:r>
    </w:p>
    <w:p>
      <w:pPr>
        <w:pStyle w:val="Normal"/>
        <w:jc w:val="center"/>
        <w:rPr>
          <w:color w:themeColor="accent6" w:val="4EA72E"/>
        </w:rPr>
      </w:pPr>
      <w:r>
        <w:rPr>
          <w:color w:themeColor="accent6" w:val="4EA72E"/>
        </w:rPr>
        <w:t>== break (30’) ==</w:t>
      </w:r>
    </w:p>
    <w:p>
      <w:pPr>
        <w:pStyle w:val="Normal"/>
        <w:rPr>
          <w:color w:themeColor="accent6" w:val="4EA72E"/>
        </w:rPr>
      </w:pPr>
      <w:r>
        <w:rPr>
          <w:color w:themeColor="accent6" w:val="4EA72E"/>
        </w:rPr>
      </w:r>
    </w:p>
    <w:p>
      <w:pPr>
        <w:pStyle w:val="Normal"/>
        <w:numPr>
          <w:ilvl w:val="0"/>
          <w:numId w:val="3"/>
        </w:numPr>
        <w:rPr/>
      </w:pPr>
      <w:r>
        <w:rPr>
          <w:b/>
          <w:bCs/>
        </w:rPr>
        <w:t>Activity 2 (2h):</w:t>
      </w:r>
      <w:r>
        <w:rPr/>
        <w:t xml:space="preserve"> The HR Advisory Boardroom Role-Play</w:t>
      </w:r>
    </w:p>
    <w:p>
      <w:pPr>
        <w:pStyle w:val="Normal"/>
        <w:rPr/>
      </w:pPr>
      <w:r>
        <w:rPr/>
      </w:r>
    </w:p>
    <w:p>
      <w:pPr>
        <w:pStyle w:val="Normal"/>
        <w:rPr/>
      </w:pPr>
      <w:r>
        <w:rPr/>
        <w:t>Warm up pre-activity</w:t>
      </w:r>
    </w:p>
    <w:p>
      <w:pPr>
        <w:pStyle w:val="ListParagraph"/>
        <w:numPr>
          <w:ilvl w:val="0"/>
          <w:numId w:val="10"/>
        </w:numPr>
        <w:rPr/>
      </w:pPr>
      <w:r>
        <w:rPr/>
        <w:t xml:space="preserve">Check out </w:t>
      </w:r>
      <w:hyperlink r:id="rId2">
        <w:r>
          <w:rPr>
            <w:rStyle w:val="Hyperlink"/>
          </w:rPr>
          <w:t>https://poloclub.github.io/webshap/</w:t>
        </w:r>
      </w:hyperlink>
      <w:r>
        <w:rPr/>
        <w:t xml:space="preserve"> (play with the three options; ‘loan approval prediction’, ‘image classification’ and ‘text toxicity classification’. In the case of ‘image classification’ a custom image can be uploaded. Click on ‘see CNN Explainer to learn more about TinyVGG’)</w:t>
      </w:r>
    </w:p>
    <w:p>
      <w:pPr>
        <w:pStyle w:val="Normal"/>
        <w:rPr>
          <w:b/>
          <w:bCs/>
        </w:rPr>
      </w:pPr>
      <w:r>
        <w:rPr>
          <w:b/>
          <w:bCs/>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t>Activity 1 (2.5h)</w:t>
      </w:r>
    </w:p>
    <w:p>
      <w:pPr>
        <w:pStyle w:val="Normal"/>
        <w:jc w:val="end"/>
        <w:rPr>
          <w:b/>
          <w:bCs/>
          <w:color w:themeColor="accent2" w:val="E97132"/>
        </w:rPr>
      </w:pPr>
      <w:r>
        <w:rPr>
          <w:b/>
          <w:bCs/>
          <w:color w:themeColor="accent2" w:val="E97132"/>
        </w:rPr>
        <w:t>Stress-Testing Explanations with R Shiny</w:t>
      </w:r>
    </w:p>
    <w:p>
      <w:pPr>
        <w:pStyle w:val="Normal"/>
        <w:rPr>
          <w:b/>
          <w:bCs/>
        </w:rPr>
      </w:pPr>
      <w:r>
        <w:rPr>
          <w:b/>
          <w:bCs/>
        </w:rPr>
        <w:t>Part 1: The Parameter Sensitivity Matrix (1.5h)</w:t>
      </w:r>
    </w:p>
    <w:p>
      <w:pPr>
        <w:pStyle w:val="Normal"/>
        <w:rPr/>
      </w:pPr>
      <w:r>
        <w:rPr/>
        <w:t xml:space="preserve">This lab utilizes the standalone R Shiny application ‘psych_shap_lime_app.R’ mapping the non-linear prediction surface of an organizational survey using the datasets::attitude data. The black-box model predicts overall department </w:t>
      </w:r>
      <w:r>
        <w:rPr>
          <w:b/>
          <w:bCs/>
        </w:rPr>
        <w:t>rating</w:t>
      </w:r>
      <w:r>
        <w:rPr/>
        <w:t xml:space="preserve"> based on six survey dimensions (complaints, privileges, learning, raises, critical, advance).</w:t>
      </w:r>
    </w:p>
    <w:p>
      <w:pPr>
        <w:pStyle w:val="Normal"/>
        <w:rPr>
          <w:i/>
          <w:iCs/>
        </w:rPr>
      </w:pPr>
      <w:r>
        <w:rPr>
          <w:i/>
          <w:iCs/>
          <w:highlight w:val="yellow"/>
        </w:rPr>
        <w:t>Recommendations at this point</w:t>
      </w:r>
    </w:p>
    <w:p>
      <w:pPr>
        <w:pStyle w:val="ListParagraph"/>
        <w:numPr>
          <w:ilvl w:val="0"/>
          <w:numId w:val="9"/>
        </w:numPr>
        <w:rPr>
          <w:highlight w:val="yellow"/>
        </w:rPr>
      </w:pPr>
      <w:r>
        <w:rPr>
          <w:highlight w:val="yellow"/>
        </w:rPr>
        <w:t>Install R and Rstudio (or use R cloud/posit [may need to pay for this])</w:t>
      </w:r>
    </w:p>
    <w:p>
      <w:pPr>
        <w:pStyle w:val="ListParagraph"/>
        <w:numPr>
          <w:ilvl w:val="0"/>
          <w:numId w:val="9"/>
        </w:numPr>
        <w:rPr>
          <w:highlight w:val="yellow"/>
        </w:rPr>
      </w:pPr>
      <w:r>
        <w:rPr>
          <w:highlight w:val="yellow"/>
        </w:rPr>
        <w:t>Run the R shinny app (recommended to inspect the actual data set via ‘View(attitude)’ to familiarise with the variables and goals of that data set. See also section 3.3 in chapter 3 in the book Chatterjee, S. and Price, B. (2012) </w:t>
      </w:r>
      <w:r>
        <w:rPr>
          <w:i/>
          <w:iCs/>
          <w:highlight w:val="yellow"/>
        </w:rPr>
        <w:t>Regression Analysis by Example (5</w:t>
      </w:r>
      <w:r>
        <w:rPr>
          <w:i/>
          <w:iCs/>
          <w:highlight w:val="yellow"/>
          <w:vertAlign w:val="superscript"/>
        </w:rPr>
        <w:t>th</w:t>
      </w:r>
      <w:r>
        <w:rPr>
          <w:i/>
          <w:iCs/>
          <w:highlight w:val="yellow"/>
        </w:rPr>
        <w:t xml:space="preserve"> Ed). </w:t>
      </w:r>
      <w:r>
        <w:rPr>
          <w:highlight w:val="yellow"/>
        </w:rPr>
        <w:t>NY: Wiley - the pdf of this book will be provided).</w:t>
      </w:r>
    </w:p>
    <w:p>
      <w:pPr>
        <w:pStyle w:val="Normal"/>
        <w:rPr/>
      </w:pPr>
      <w:r>
        <w:rPr/>
        <w:t xml:space="preserve">Launch the Shiny application locally. Navigate to the left panel and select </w:t>
      </w:r>
      <w:r>
        <w:rPr>
          <w:b/>
          <w:bCs/>
        </w:rPr>
        <w:t>"Dept 10 - observed rating 67"</w:t>
      </w:r>
      <w:r>
        <w:rPr/>
        <w:t xml:space="preserve"> from the dropdown menu to initialize your baseline profile. Keeping all performance feature sliders fixed at their default Department 10 positions, manipulate the LIME hyper-parameters in the sidebar to observe how post-hoc explanations react to algorithmic adjustments. Complete the following scorecard: </w:t>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84"/>
        <w:gridCol w:w="1512"/>
        <w:gridCol w:w="1124"/>
        <w:gridCol w:w="1000"/>
        <w:gridCol w:w="987"/>
        <w:gridCol w:w="939"/>
        <w:gridCol w:w="941"/>
        <w:gridCol w:w="1029"/>
      </w:tblGrid>
      <w:tr>
        <w:trPr/>
        <w:tc>
          <w:tcPr>
            <w:tcW w:w="1484" w:type="dxa"/>
            <w:tcBorders/>
          </w:tcPr>
          <w:p>
            <w:pPr>
              <w:pStyle w:val="Normal"/>
              <w:widowControl/>
              <w:spacing w:lineRule="auto" w:line="240" w:before="0" w:after="0"/>
              <w:jc w:val="start"/>
              <w:rPr>
                <w:b/>
                <w:bCs/>
                <w:sz w:val="20"/>
                <w:szCs w:val="20"/>
              </w:rPr>
            </w:pPr>
            <w:r>
              <w:rPr>
                <w:rStyle w:val="Strong"/>
                <w:rFonts w:eastAsia="Aptos" w:cs=""/>
                <w:kern w:val="2"/>
                <w:sz w:val="20"/>
                <w:szCs w:val="20"/>
                <w:lang w:val="en-AU" w:eastAsia="en-US" w:bidi="ar-SA"/>
              </w:rPr>
              <w:t>Test Run</w:t>
            </w:r>
          </w:p>
        </w:tc>
        <w:tc>
          <w:tcPr>
            <w:tcW w:w="1512" w:type="dxa"/>
            <w:tcBorders/>
          </w:tcPr>
          <w:p>
            <w:pPr>
              <w:pStyle w:val="Normal"/>
              <w:widowControl/>
              <w:spacing w:lineRule="auto" w:line="240" w:before="0" w:after="0"/>
              <w:jc w:val="start"/>
              <w:rPr>
                <w:b/>
                <w:bCs/>
                <w:sz w:val="20"/>
                <w:szCs w:val="20"/>
              </w:rPr>
            </w:pPr>
            <w:r>
              <w:rPr>
                <w:rStyle w:val="Strong"/>
                <w:rFonts w:eastAsia="Aptos" w:cs=""/>
                <w:kern w:val="2"/>
                <w:sz w:val="20"/>
                <w:szCs w:val="20"/>
                <w:lang w:val="en-AU" w:eastAsia="en-US" w:bidi="ar-SA"/>
              </w:rPr>
              <w:t>Local Neighborhood Width</w:t>
            </w:r>
          </w:p>
        </w:tc>
        <w:tc>
          <w:tcPr>
            <w:tcW w:w="1124" w:type="dxa"/>
            <w:tcBorders/>
          </w:tcPr>
          <w:p>
            <w:pPr>
              <w:pStyle w:val="Normal"/>
              <w:widowControl/>
              <w:spacing w:lineRule="auto" w:line="240" w:before="0" w:after="0"/>
              <w:jc w:val="start"/>
              <w:rPr>
                <w:b/>
                <w:bCs/>
                <w:sz w:val="20"/>
                <w:szCs w:val="20"/>
              </w:rPr>
            </w:pPr>
            <w:r>
              <w:rPr>
                <w:rFonts w:eastAsia="Aptos" w:cs=""/>
                <w:b/>
                <w:bCs/>
                <w:kern w:val="2"/>
                <w:sz w:val="20"/>
                <w:szCs w:val="20"/>
                <w:lang w:val="en-AU" w:eastAsia="en-US" w:bidi="ar-SA"/>
              </w:rPr>
              <w:t>Perturbed Profiles (n)</w:t>
            </w:r>
          </w:p>
        </w:tc>
        <w:tc>
          <w:tcPr>
            <w:tcW w:w="1000" w:type="dxa"/>
            <w:tcBorders/>
          </w:tcPr>
          <w:p>
            <w:pPr>
              <w:pStyle w:val="Normal"/>
              <w:widowControl/>
              <w:spacing w:lineRule="auto" w:line="240" w:before="0" w:after="0"/>
              <w:jc w:val="start"/>
              <w:rPr>
                <w:b/>
                <w:bCs/>
                <w:sz w:val="20"/>
                <w:szCs w:val="20"/>
              </w:rPr>
            </w:pPr>
            <w:r>
              <w:rPr>
                <w:rFonts w:eastAsia="Aptos" w:cs=""/>
                <w:b/>
                <w:bCs/>
                <w:kern w:val="2"/>
                <w:sz w:val="20"/>
                <w:szCs w:val="20"/>
                <w:lang w:val="en-AU" w:eastAsia="en-US" w:bidi="ar-SA"/>
              </w:rPr>
              <w:t>Random seed</w:t>
            </w:r>
          </w:p>
        </w:tc>
        <w:tc>
          <w:tcPr>
            <w:tcW w:w="987" w:type="dxa"/>
            <w:tcBorders/>
          </w:tcPr>
          <w:p>
            <w:pPr>
              <w:pStyle w:val="Normal"/>
              <w:widowControl/>
              <w:spacing w:lineRule="auto" w:line="240" w:before="0" w:after="0"/>
              <w:jc w:val="start"/>
              <w:rPr>
                <w:b/>
                <w:bCs/>
                <w:color w:themeColor="accent2" w:val="E97132"/>
                <w:sz w:val="20"/>
                <w:szCs w:val="20"/>
              </w:rPr>
            </w:pPr>
            <w:r>
              <w:rPr>
                <w:rFonts w:eastAsia="Aptos" w:cs=""/>
                <w:b/>
                <w:bCs/>
                <w:color w:themeColor="accent2" w:val="E97132"/>
                <w:kern w:val="2"/>
                <w:sz w:val="20"/>
                <w:szCs w:val="20"/>
                <w:lang w:val="en-AU" w:eastAsia="en-US" w:bidi="ar-SA"/>
              </w:rPr>
              <w:t>Local R2 (fidelity)</w:t>
            </w:r>
          </w:p>
        </w:tc>
        <w:tc>
          <w:tcPr>
            <w:tcW w:w="939" w:type="dxa"/>
            <w:tcBorders/>
          </w:tcPr>
          <w:p>
            <w:pPr>
              <w:pStyle w:val="Normal"/>
              <w:widowControl/>
              <w:spacing w:lineRule="auto" w:line="240" w:before="0" w:after="0"/>
              <w:jc w:val="start"/>
              <w:rPr>
                <w:b/>
                <w:bCs/>
                <w:color w:themeColor="accent2" w:val="E97132"/>
                <w:sz w:val="20"/>
                <w:szCs w:val="20"/>
              </w:rPr>
            </w:pPr>
            <w:r>
              <w:rPr>
                <w:rFonts w:eastAsia="Aptos" w:cs=""/>
                <w:b/>
                <w:bCs/>
                <w:color w:themeColor="accent2" w:val="E97132"/>
                <w:kern w:val="2"/>
                <w:sz w:val="20"/>
                <w:szCs w:val="20"/>
                <w:lang w:val="en-AU" w:eastAsia="en-US" w:bidi="ar-SA"/>
              </w:rPr>
              <w:t>Top SHAP Feature &amp; Value</w:t>
            </w:r>
          </w:p>
        </w:tc>
        <w:tc>
          <w:tcPr>
            <w:tcW w:w="941" w:type="dxa"/>
            <w:tcBorders/>
          </w:tcPr>
          <w:p>
            <w:pPr>
              <w:pStyle w:val="Normal"/>
              <w:widowControl/>
              <w:spacing w:lineRule="auto" w:line="240" w:before="0" w:after="0"/>
              <w:jc w:val="start"/>
              <w:rPr>
                <w:b/>
                <w:bCs/>
                <w:color w:themeColor="accent2" w:val="E97132"/>
                <w:sz w:val="20"/>
                <w:szCs w:val="20"/>
              </w:rPr>
            </w:pPr>
            <w:r>
              <w:rPr>
                <w:rFonts w:eastAsia="Aptos" w:cs=""/>
                <w:b/>
                <w:bCs/>
                <w:color w:themeColor="accent2" w:val="E97132"/>
                <w:kern w:val="2"/>
                <w:sz w:val="20"/>
                <w:szCs w:val="20"/>
                <w:lang w:val="en-AU" w:eastAsia="en-US" w:bidi="ar-SA"/>
              </w:rPr>
              <w:t>Top LIME Feature &amp; Value</w:t>
            </w:r>
          </w:p>
        </w:tc>
        <w:tc>
          <w:tcPr>
            <w:tcW w:w="1029" w:type="dxa"/>
            <w:tcBorders/>
          </w:tcPr>
          <w:p>
            <w:pPr>
              <w:pStyle w:val="Normal"/>
              <w:widowControl/>
              <w:spacing w:lineRule="auto" w:line="240" w:before="0" w:after="0"/>
              <w:jc w:val="start"/>
              <w:rPr>
                <w:b/>
                <w:bCs/>
                <w:color w:themeColor="accent2" w:val="E97132"/>
                <w:sz w:val="20"/>
                <w:szCs w:val="20"/>
              </w:rPr>
            </w:pPr>
            <w:r>
              <w:rPr>
                <w:rFonts w:eastAsia="Aptos" w:cs=""/>
                <w:b/>
                <w:bCs/>
                <w:color w:themeColor="accent2" w:val="E97132"/>
                <w:kern w:val="2"/>
                <w:sz w:val="20"/>
                <w:szCs w:val="20"/>
                <w:lang w:val="en-AU" w:eastAsia="en-US" w:bidi="ar-SA"/>
              </w:rPr>
              <w:t>Do the Top Features Agree?</w:t>
            </w:r>
          </w:p>
        </w:tc>
      </w:tr>
      <w:tr>
        <w:trPr/>
        <w:tc>
          <w:tcPr>
            <w:tcW w:w="1484" w:type="dxa"/>
            <w:tcBorders/>
          </w:tcPr>
          <w:p>
            <w:pPr>
              <w:pStyle w:val="Normal"/>
              <w:widowControl/>
              <w:spacing w:lineRule="auto" w:line="240" w:before="0" w:after="0"/>
              <w:jc w:val="start"/>
              <w:rPr>
                <w:b/>
                <w:bCs/>
                <w:sz w:val="20"/>
                <w:szCs w:val="20"/>
              </w:rPr>
            </w:pPr>
            <w:r>
              <w:rPr>
                <w:rFonts w:eastAsia="Aptos" w:cs=""/>
                <w:b/>
                <w:bCs/>
                <w:kern w:val="2"/>
                <w:sz w:val="20"/>
                <w:szCs w:val="20"/>
                <w:lang w:val="en-AU" w:eastAsia="en-US" w:bidi="ar-SA"/>
              </w:rPr>
              <w:t>Run A (Default)</w:t>
            </w:r>
          </w:p>
        </w:tc>
        <w:tc>
          <w:tcPr>
            <w:tcW w:w="1512"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1.25</w:t>
            </w:r>
          </w:p>
        </w:tc>
        <w:tc>
          <w:tcPr>
            <w:tcW w:w="1124"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900</w:t>
            </w:r>
          </w:p>
        </w:tc>
        <w:tc>
          <w:tcPr>
            <w:tcW w:w="1000"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123</w:t>
            </w:r>
          </w:p>
        </w:tc>
        <w:tc>
          <w:tcPr>
            <w:tcW w:w="987"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0.86</w:t>
            </w:r>
          </w:p>
        </w:tc>
        <w:tc>
          <w:tcPr>
            <w:tcW w:w="939"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Complaints handled well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(-5.02)</w:t>
            </w:r>
          </w:p>
        </w:tc>
        <w:tc>
          <w:tcPr>
            <w:tcW w:w="941"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Raises for performance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(-0.1)</w:t>
            </w:r>
          </w:p>
        </w:tc>
        <w:tc>
          <w:tcPr>
            <w:tcW w:w="1029"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NO</w:t>
            </w:r>
          </w:p>
        </w:tc>
      </w:tr>
      <w:tr>
        <w:trPr/>
        <w:tc>
          <w:tcPr>
            <w:tcW w:w="1484" w:type="dxa"/>
            <w:tcBorders/>
          </w:tcPr>
          <w:p>
            <w:pPr>
              <w:pStyle w:val="Normal"/>
              <w:widowControl/>
              <w:spacing w:lineRule="auto" w:line="240" w:before="0" w:after="0"/>
              <w:jc w:val="start"/>
              <w:rPr>
                <w:b/>
                <w:bCs/>
                <w:sz w:val="20"/>
                <w:szCs w:val="20"/>
              </w:rPr>
            </w:pPr>
            <w:r>
              <w:rPr>
                <w:rFonts w:eastAsia="Aptos" w:cs=""/>
                <w:b/>
                <w:bCs/>
                <w:kern w:val="2"/>
                <w:sz w:val="20"/>
                <w:szCs w:val="20"/>
                <w:lang w:val="en-AU" w:eastAsia="en-US" w:bidi="ar-SA"/>
              </w:rPr>
              <w:t>Run B (Ultra-Local)</w:t>
            </w:r>
          </w:p>
        </w:tc>
        <w:tc>
          <w:tcPr>
            <w:tcW w:w="1512"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0.20</w:t>
            </w:r>
          </w:p>
        </w:tc>
        <w:tc>
          <w:tcPr>
            <w:tcW w:w="1124"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900</w:t>
            </w:r>
          </w:p>
        </w:tc>
        <w:tc>
          <w:tcPr>
            <w:tcW w:w="1000"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123</w:t>
            </w:r>
          </w:p>
        </w:tc>
        <w:tc>
          <w:tcPr>
            <w:tcW w:w="987"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1</w:t>
            </w:r>
          </w:p>
        </w:tc>
        <w:tc>
          <w:tcPr>
            <w:tcW w:w="939"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Complaints handled well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(-5.02)</w:t>
            </w:r>
          </w:p>
        </w:tc>
        <w:tc>
          <w:tcPr>
            <w:tcW w:w="941"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Advancement opportunities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(-0.04)</w:t>
            </w:r>
          </w:p>
        </w:tc>
        <w:tc>
          <w:tcPr>
            <w:tcW w:w="1029"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NO</w:t>
            </w:r>
          </w:p>
        </w:tc>
      </w:tr>
      <w:tr>
        <w:trPr/>
        <w:tc>
          <w:tcPr>
            <w:tcW w:w="1484" w:type="dxa"/>
            <w:tcBorders/>
          </w:tcPr>
          <w:p>
            <w:pPr>
              <w:pStyle w:val="Normal"/>
              <w:widowControl/>
              <w:spacing w:lineRule="auto" w:line="240" w:before="0" w:after="0"/>
              <w:jc w:val="start"/>
              <w:rPr>
                <w:b/>
                <w:bCs/>
                <w:sz w:val="20"/>
                <w:szCs w:val="20"/>
              </w:rPr>
            </w:pPr>
            <w:r>
              <w:rPr>
                <w:rFonts w:eastAsia="Aptos" w:cs=""/>
                <w:b/>
                <w:bCs/>
                <w:kern w:val="2"/>
                <w:sz w:val="20"/>
                <w:szCs w:val="20"/>
                <w:lang w:val="en-AU" w:eastAsia="en-US" w:bidi="ar-SA"/>
              </w:rPr>
              <w:t>Run C (Wide/Global)</w:t>
            </w:r>
          </w:p>
        </w:tc>
        <w:tc>
          <w:tcPr>
            <w:tcW w:w="1512"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4.00</w:t>
            </w:r>
          </w:p>
        </w:tc>
        <w:tc>
          <w:tcPr>
            <w:tcW w:w="1124"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900</w:t>
            </w:r>
          </w:p>
        </w:tc>
        <w:tc>
          <w:tcPr>
            <w:tcW w:w="1000"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123</w:t>
            </w:r>
          </w:p>
        </w:tc>
        <w:tc>
          <w:tcPr>
            <w:tcW w:w="987"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0.81</w:t>
            </w:r>
          </w:p>
        </w:tc>
        <w:tc>
          <w:tcPr>
            <w:tcW w:w="939"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Complaints handled well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(-5.02)</w:t>
            </w:r>
          </w:p>
        </w:tc>
        <w:tc>
          <w:tcPr>
            <w:tcW w:w="941"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Complaints handled well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(-0.18)</w:t>
            </w:r>
          </w:p>
        </w:tc>
        <w:tc>
          <w:tcPr>
            <w:tcW w:w="1029"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SI</w:t>
            </w:r>
          </w:p>
        </w:tc>
      </w:tr>
      <w:tr>
        <w:trPr/>
        <w:tc>
          <w:tcPr>
            <w:tcW w:w="1484" w:type="dxa"/>
            <w:tcBorders/>
          </w:tcPr>
          <w:p>
            <w:pPr>
              <w:pStyle w:val="Normal"/>
              <w:widowControl/>
              <w:spacing w:lineRule="auto" w:line="240" w:before="0" w:after="0"/>
              <w:jc w:val="start"/>
              <w:rPr>
                <w:b/>
                <w:bCs/>
                <w:sz w:val="20"/>
                <w:szCs w:val="20"/>
              </w:rPr>
            </w:pPr>
            <w:r>
              <w:rPr>
                <w:rFonts w:eastAsia="Aptos" w:cs=""/>
                <w:b/>
                <w:bCs/>
                <w:kern w:val="2"/>
                <w:sz w:val="20"/>
                <w:szCs w:val="20"/>
                <w:lang w:val="en-AU" w:eastAsia="en-US" w:bidi="ar-SA"/>
              </w:rPr>
              <w:t>Run D (Seed Shift)</w:t>
            </w:r>
          </w:p>
        </w:tc>
        <w:tc>
          <w:tcPr>
            <w:tcW w:w="1512"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0.20</w:t>
            </w:r>
          </w:p>
        </w:tc>
        <w:tc>
          <w:tcPr>
            <w:tcW w:w="1124"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900</w:t>
            </w:r>
          </w:p>
        </w:tc>
        <w:tc>
          <w:tcPr>
            <w:tcW w:w="1000" w:type="dxa"/>
            <w:tcBorders/>
          </w:tcPr>
          <w:p>
            <w:pPr>
              <w:pStyle w:val="Normal"/>
              <w:widowControl/>
              <w:spacing w:lineRule="auto" w:line="240" w:before="0" w:after="0"/>
              <w:jc w:val="start"/>
              <w:rPr>
                <w:sz w:val="20"/>
                <w:szCs w:val="20"/>
              </w:rPr>
            </w:pPr>
            <w:r>
              <w:rPr>
                <w:rFonts w:eastAsia="Aptos" w:cs=""/>
                <w:kern w:val="2"/>
                <w:sz w:val="20"/>
                <w:szCs w:val="20"/>
                <w:lang w:val="en-AU" w:eastAsia="en-US" w:bidi="ar-SA"/>
              </w:rPr>
              <w:t>999</w:t>
            </w:r>
          </w:p>
        </w:tc>
        <w:tc>
          <w:tcPr>
            <w:tcW w:w="987"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0.99</w:t>
            </w:r>
          </w:p>
        </w:tc>
        <w:tc>
          <w:tcPr>
            <w:tcW w:w="939"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Complaints handled well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(-5.02)</w:t>
            </w:r>
          </w:p>
        </w:tc>
        <w:tc>
          <w:tcPr>
            <w:tcW w:w="941" w:type="dxa"/>
            <w:tcBorders/>
          </w:tcPr>
          <w:p>
            <w:pPr>
              <w:pStyle w:val="Normal"/>
              <w:widowControl/>
              <w:spacing w:lineRule="auto" w:line="240" w:before="0" w:after="0"/>
              <w:jc w:val="start"/>
              <w:rPr>
                <w:color w:themeColor="accent2" w:val="E97132"/>
                <w:sz w:val="20"/>
                <w:szCs w:val="20"/>
              </w:rPr>
            </w:pP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 xml:space="preserve">Advancement opportunities </w:t>
            </w:r>
            <w:r>
              <w:rPr>
                <w:rFonts w:eastAsia="Aptos" w:cs="" w:ascii="apple-system;BlinkMacSystemFont;Segoe UI;sans-serif" w:hAnsi="apple-system;BlinkMacSystemFont;Segoe UI;sans-serif"/>
                <w:b w:val="false"/>
                <w:i w:val="false"/>
                <w:caps w:val="false"/>
                <w:smallCaps w:val="false"/>
                <w:color w:val="0F172A"/>
                <w:spacing w:val="0"/>
                <w:kern w:val="2"/>
                <w:sz w:val="21"/>
                <w:szCs w:val="20"/>
                <w:lang w:val="en-AU" w:eastAsia="en-US" w:bidi="ar-SA"/>
              </w:rPr>
              <w:t>(+0.00)</w:t>
            </w:r>
          </w:p>
        </w:tc>
        <w:tc>
          <w:tcPr>
            <w:tcW w:w="1029" w:type="dxa"/>
            <w:tcBorders/>
          </w:tcPr>
          <w:p>
            <w:pPr>
              <w:pStyle w:val="Normal"/>
              <w:widowControl/>
              <w:spacing w:lineRule="auto" w:line="240" w:before="0" w:after="0"/>
              <w:jc w:val="start"/>
              <w:rPr>
                <w:color w:themeColor="accent2" w:val="E97132"/>
                <w:sz w:val="20"/>
                <w:szCs w:val="20"/>
              </w:rPr>
            </w:pPr>
            <w:r>
              <w:rPr>
                <w:rFonts w:eastAsia="Aptos" w:cs=""/>
                <w:color w:themeColor="accent2" w:val="E97132"/>
                <w:kern w:val="2"/>
                <w:sz w:val="20"/>
                <w:szCs w:val="20"/>
                <w:lang w:val="en-AU" w:eastAsia="en-US" w:bidi="ar-SA"/>
              </w:rPr>
              <w:t>NO</w:t>
            </w:r>
          </w:p>
        </w:tc>
      </w:tr>
    </w:tbl>
    <w:p>
      <w:pPr>
        <w:pStyle w:val="Normal"/>
        <w:rPr/>
      </w:pPr>
      <w:r>
        <w:rPr/>
        <w:t>Note: ‘perturbation spread’ was left out to keep things manageable.</w:t>
      </w:r>
    </w:p>
    <w:p>
      <w:pPr>
        <w:pStyle w:val="Normal"/>
        <w:rPr>
          <w:b/>
          <w:bCs/>
        </w:rPr>
      </w:pPr>
      <w:r>
        <w:rPr>
          <w:b/>
          <w:bCs/>
        </w:rPr>
        <w:t>Post-Log Verification Tasks:</w:t>
      </w:r>
    </w:p>
    <w:p>
      <w:pPr>
        <w:pStyle w:val="Normal"/>
        <w:numPr>
          <w:ilvl w:val="0"/>
          <w:numId w:val="4"/>
        </w:numPr>
        <w:rPr/>
      </w:pPr>
      <w:r>
        <w:rPr>
          <w:b/>
          <w:bCs/>
        </w:rPr>
        <w:t>The Instability Trap:</w:t>
      </w:r>
      <w:r>
        <w:rPr/>
        <w:t xml:space="preserve"> Compare </w:t>
      </w:r>
      <w:r>
        <w:rPr>
          <w:b/>
          <w:bCs/>
        </w:rPr>
        <w:t>Run B</w:t>
      </w:r>
      <w:r>
        <w:rPr/>
        <w:t xml:space="preserve"> and </w:t>
      </w:r>
      <w:r>
        <w:rPr>
          <w:b/>
          <w:bCs/>
        </w:rPr>
        <w:t>Run D</w:t>
      </w:r>
      <w:r>
        <w:rPr/>
        <w:t xml:space="preserve">. Note what happens to the top feature identified by LIME, its local slope, and its waterfall chart contribution when nothing is altered except the random initialization seed. </w:t>
      </w:r>
      <w:r>
        <w:rPr>
          <w:color w:val="00A933"/>
        </w:rPr>
        <w:t xml:space="preserve">Run B and Run D differ only in the random initialization seed, so any change in the explanation reflects sampling instability in LIME rather than a real change in the black-box model. In Run B, the top feature is </w:t>
      </w:r>
      <w:r>
        <w:rPr>
          <w:rStyle w:val="Textooriginal"/>
          <w:color w:val="00A933"/>
        </w:rPr>
        <w:t>Advancement opportunities</w:t>
      </w:r>
      <w:r>
        <w:rPr>
          <w:color w:val="00A933"/>
        </w:rPr>
        <w:t>, with a local slope of approximately -8.12 and a near-zero waterfall contribution. If Run D identifies a different top feature, or if the local slope and contribution change noticeably, this indicates that the LIME explanation is sensitive to the particular perturbed profiles generated by the random seed. This is the instability trap: even with the same profile and model, LIME can produce different local explanations because the surrogate is fitted on a stochastic neighbourhood sample.</w:t>
      </w:r>
    </w:p>
    <w:p>
      <w:pPr>
        <w:pStyle w:val="Normal"/>
        <w:numPr>
          <w:ilvl w:val="0"/>
          <w:numId w:val="4"/>
        </w:numPr>
        <w:rPr/>
      </w:pPr>
      <w:r>
        <w:rPr>
          <w:b/>
          <w:bCs/>
        </w:rPr>
        <w:t>The Curvature Breakdown:</w:t>
      </w:r>
      <w:r>
        <w:rPr/>
        <w:t xml:space="preserve"> Look at the </w:t>
      </w:r>
      <w:r>
        <w:rPr>
          <w:b/>
          <w:bCs/>
        </w:rPr>
        <w:t>Local R</w:t>
      </w:r>
      <w:r>
        <w:rPr>
          <w:b/>
          <w:bCs/>
          <w:vertAlign w:val="superscript"/>
        </w:rPr>
        <w:t>2</w:t>
      </w:r>
      <w:r>
        <w:rPr/>
        <w:t xml:space="preserve"> and </w:t>
      </w:r>
      <w:r>
        <w:rPr>
          <w:b/>
          <w:bCs/>
        </w:rPr>
        <w:t>Surrogate Error</w:t>
      </w:r>
      <w:r>
        <w:rPr/>
        <w:t xml:space="preserve"> metric cards as you transition from Run B to Run C. Explain how expanding the neighbourhood width introduces local approximation errors due to the non-linear interactions programmed into the black box. </w:t>
      </w:r>
      <w:r>
        <w:rPr>
          <w:color w:val="00A933"/>
        </w:rPr>
        <w:t>From Run B to Run C, the neighbourhood width is expanded. In Run B, the local surrogate achieves a weighted local R² of 0.99, indicating that the linear approximation closely matches the black-box predictions in a very small neighbourhood. The surrogate error is therefore expected to be low. In Run C, the weighted local R² drops to 0.78, showing that the surrogate no longer captures the black-box behaviour as accurately. This happens because the wider neighbourhood includes points farther from the current profile, where the non-linear interactions in the black-box model become more visible. As a result, the linear surrogate averages over a curved response surface, producing local approximation errors. This is the curvature breakdown: the explanation becomes less locally faithful as the neighbourhood expands.</w:t>
      </w:r>
    </w:p>
    <w:p>
      <w:pPr>
        <w:pStyle w:val="Normal"/>
        <w:rPr/>
      </w:pPr>
      <w:r>
        <w:rPr>
          <w:highlight w:val="yellow"/>
        </w:rPr>
        <w:t>Recommendation = use a reliable LLM (e.g. NotebookLM, Claude, etc) to better understand what the R shinny app is doing and each of its components</w:t>
      </w:r>
      <w:r>
        <w:rPr/>
        <w:t>.</w:t>
      </w:r>
    </w:p>
    <w:p>
      <w:pPr>
        <w:pStyle w:val="Normal"/>
        <w:rPr/>
      </w:pPr>
      <w:r>
        <w:rPr/>
      </w:r>
    </w:p>
    <w:p>
      <w:pPr>
        <w:pStyle w:val="Normal"/>
        <w:rPr>
          <w:b/>
          <w:bCs/>
        </w:rPr>
      </w:pPr>
      <w:r>
        <w:rPr>
          <w:b/>
          <w:bCs/>
        </w:rPr>
        <w:t>Part 2: The "Disagreement Hunt" Log (1h)</w:t>
      </w:r>
    </w:p>
    <w:p>
      <w:pPr>
        <w:pStyle w:val="Normal"/>
        <w:rPr/>
      </w:pPr>
      <w:r>
        <w:rPr/>
        <w:t xml:space="preserve">Switch to the </w:t>
      </w:r>
      <w:r>
        <w:rPr>
          <w:b/>
          <w:bCs/>
        </w:rPr>
        <w:t>"Compare"</w:t>
      </w:r>
      <w:r>
        <w:rPr/>
        <w:t xml:space="preserve"> tab of the Shiny application. Your assignment is to actively break the alignment between both explanation frameworks. Manually manipulate individual feature sliders (e.g., altering complaints or learning) until you successfully create a custom department profile where SHAP and LIME experience a </w:t>
      </w:r>
      <w:r>
        <w:rPr>
          <w:b/>
          <w:bCs/>
        </w:rPr>
        <w:t>fundamental directional contradiction</w:t>
      </w:r>
      <w:r>
        <w:rPr/>
        <w:t xml:space="preserve"> on a critical variable. </w:t>
      </w:r>
    </w:p>
    <w:p>
      <w:pPr>
        <w:pStyle w:val="Normal"/>
        <w:rPr/>
      </w:pPr>
      <w:r>
        <w:rPr>
          <w:b/>
          <w:bCs/>
        </w:rPr>
        <w:t>The Disagreement Criteria:</w:t>
      </w:r>
      <w:r>
        <w:rPr/>
        <w:t xml:space="preserve"> Locate a coordinate where one framework claims a feature pushes the department rating </w:t>
      </w:r>
      <w:r>
        <w:rPr>
          <w:i/>
          <w:iCs/>
        </w:rPr>
        <w:t>up</w:t>
      </w:r>
      <w:r>
        <w:rPr/>
        <w:t xml:space="preserve"> (positive attribution), while the alternative framework shows that exact same feature pulls the rating </w:t>
      </w:r>
      <w:r>
        <w:rPr>
          <w:i/>
          <w:iCs/>
        </w:rPr>
        <w:t>down</w:t>
      </w:r>
      <w:r>
        <w:rPr/>
        <w:t xml:space="preserve"> (negative slope/contribution). </w:t>
      </w:r>
    </w:p>
    <w:p>
      <w:pPr>
        <w:pStyle w:val="Normal"/>
        <w:rPr/>
      </w:pPr>
      <w:r>
        <w:rPr/>
        <w:t>Document your findings below:</w:t>
      </w:r>
    </w:p>
    <w:p>
      <w:pPr>
        <w:pStyle w:val="Normal"/>
        <w:numPr>
          <w:ilvl w:val="0"/>
          <w:numId w:val="5"/>
        </w:numPr>
        <w:rPr/>
      </w:pPr>
      <w:r>
        <w:rPr>
          <w:b/>
          <w:bCs/>
        </w:rPr>
        <w:t>Contradictory Coordinate Profile:</w:t>
      </w:r>
      <w:r>
        <w:rPr/>
        <w:t xml:space="preserve"> (e.g., Complaints: __, Privileges: __, Learning: __, Raises: __, Critical: __, Advance: __)</w:t>
      </w:r>
    </w:p>
    <w:p>
      <w:pPr>
        <w:pStyle w:val="Normal"/>
        <w:numPr>
          <w:ilvl w:val="0"/>
          <w:numId w:val="5"/>
        </w:numPr>
        <w:rPr/>
      </w:pPr>
      <w:r>
        <w:rPr>
          <w:b/>
          <w:bCs/>
        </w:rPr>
        <w:t>The Contradictory Feature:</w:t>
      </w:r>
      <w:r>
        <w:rPr/>
        <w:t xml:space="preserve"> ___________________</w:t>
      </w:r>
    </w:p>
    <w:p>
      <w:pPr>
        <w:pStyle w:val="Normal"/>
        <w:numPr>
          <w:ilvl w:val="0"/>
          <w:numId w:val="5"/>
        </w:numPr>
        <w:rPr/>
      </w:pPr>
      <w:r>
        <w:rPr>
          <w:b/>
          <w:bCs/>
        </w:rPr>
        <w:t>SHAP Performance Valuation:</w:t>
      </w:r>
      <w:r>
        <w:rPr/>
        <w:t xml:space="preserve"> Value: _______ | Directional Impact: [Pushes Up / Pushes Down]</w:t>
      </w:r>
    </w:p>
    <w:p>
      <w:pPr>
        <w:pStyle w:val="Normal"/>
        <w:numPr>
          <w:ilvl w:val="0"/>
          <w:numId w:val="5"/>
        </w:numPr>
        <w:rPr/>
      </w:pPr>
      <w:r>
        <w:rPr>
          <w:b/>
          <w:bCs/>
        </w:rPr>
        <w:t>LIME Performance Valuation:</w:t>
      </w:r>
      <w:r>
        <w:rPr/>
        <w:t xml:space="preserve"> Value: _______ | Directional Impact: [Pushes Up / Pushes Down]</w:t>
      </w:r>
    </w:p>
    <w:p>
      <w:pPr>
        <w:pStyle w:val="Normal"/>
        <w:rPr/>
      </w:pPr>
      <w:r>
        <w:rPr/>
        <w:t xml:space="preserve">Directly below your logged contradiction, score the model's interpretability on the following metrics: </w:t>
      </w:r>
    </w:p>
    <w:p>
      <w:pPr>
        <w:pStyle w:val="Normal"/>
        <w:numPr>
          <w:ilvl w:val="0"/>
          <w:numId w:val="6"/>
        </w:numPr>
        <w:rPr/>
      </w:pPr>
      <w:r>
        <w:rPr>
          <w:b/>
          <w:bCs/>
        </w:rPr>
        <w:t>The Trust Score (Accuracy):</w:t>
      </w:r>
      <w:r>
        <w:rPr/>
        <w:t xml:space="preserve"> On a scale of 1 (not very confident) to 5 (very confident), how certain are you that this local linear surrogate accurately mirrors the model's true internal behaviour at this coordinate? 1 --- 2 --- 3 --- 4 --- 5 </w:t>
      </w:r>
    </w:p>
    <w:p>
      <w:pPr>
        <w:pStyle w:val="Normal"/>
        <w:numPr>
          <w:ilvl w:val="0"/>
          <w:numId w:val="6"/>
        </w:numPr>
        <w:rPr/>
      </w:pPr>
      <w:r>
        <w:rPr>
          <w:b/>
          <w:bCs/>
        </w:rPr>
        <w:t>The Audit Score (Interpretability):</w:t>
      </w:r>
      <w:r>
        <w:rPr/>
        <w:t xml:space="preserve"> On a scale of 1 (not very confident) to 5 (very confident), if this model is deployed to evaluate managers, how easy is it for you to explain to an employee why the tools disagree? 1 --- 2 --- 3 --- 4 --- 5 </w:t>
      </w:r>
    </w:p>
    <w:p>
      <w:pPr>
        <w:pStyle w:val="Normal"/>
        <w:rPr/>
      </w:pPr>
      <w:r>
        <w:rPr/>
      </w:r>
    </w:p>
    <w:p>
      <w:pPr>
        <w:pStyle w:val="Normal"/>
        <w:rPr/>
      </w:pPr>
      <w:r>
        <w:rPr/>
        <w:t xml:space="preserve">Cast your responses here: </w:t>
      </w:r>
      <w:hyperlink r:id="rId3">
        <w:r>
          <w:rPr>
            <w:rStyle w:val="Hyperlink"/>
          </w:rPr>
          <w:t>https://www.menti.com/alurs1mmmgou</w:t>
        </w:r>
      </w:hyperlink>
      <w:r>
        <w:rPr/>
        <w:t xml:space="preserve"> </w:t>
      </w:r>
    </w:p>
    <w:p>
      <w:pPr>
        <w:pStyle w:val="Normal"/>
        <w:jc w:val="end"/>
        <w:rPr>
          <w:b/>
          <w:bCs/>
          <w:color w:themeColor="accent2" w:val="E97132"/>
        </w:rPr>
      </w:pPr>
      <w:r>
        <w:rPr>
          <w:b/>
          <w:bCs/>
          <w:color w:themeColor="accent2" w:val="E97132"/>
        </w:rPr>
      </w:r>
    </w:p>
    <w:p>
      <w:pPr>
        <w:pStyle w:val="Normal"/>
        <w:jc w:val="end"/>
        <w:rPr>
          <w:b/>
          <w:bCs/>
          <w:color w:themeColor="accent2" w:val="E97132"/>
        </w:rPr>
      </w:pPr>
      <w:r>
        <w:rPr>
          <w:b/>
          <w:bCs/>
          <w:color w:themeColor="accent2" w:val="E97132"/>
        </w:rPr>
        <w:t>Activity 2 (2h)</w:t>
      </w:r>
    </w:p>
    <w:p>
      <w:pPr>
        <w:pStyle w:val="Normal"/>
        <w:rPr>
          <w:b/>
          <w:bCs/>
        </w:rPr>
      </w:pPr>
      <w:r>
        <w:rPr>
          <w:b/>
          <w:bCs/>
        </w:rPr>
        <w:t>The HR Advisory Boardroom Role-Play</w:t>
      </w:r>
    </w:p>
    <w:p>
      <w:pPr>
        <w:pStyle w:val="Normal"/>
        <w:rPr>
          <w:b/>
          <w:bCs/>
        </w:rPr>
      </w:pPr>
      <w:r>
        <w:rPr>
          <w:b/>
          <w:bCs/>
        </w:rPr>
        <w:t>Scenario Setup</w:t>
      </w:r>
    </w:p>
    <w:p>
      <w:pPr>
        <w:pStyle w:val="Normal"/>
        <w:rPr/>
      </w:pPr>
      <w:r>
        <w:rPr/>
        <w:t>The executive board of a corporate enterprise has deployed our non-linear psychometric model to automate internal department evaluations. Department 10's score was predicted significantly lower than the historical baseline. A management dispute has broken out regarding whether the department requires structural reorganization.</w:t>
      </w:r>
    </w:p>
    <w:p>
      <w:pPr>
        <w:pStyle w:val="Normal"/>
        <w:rPr/>
      </w:pPr>
      <w:r>
        <w:rPr/>
        <w:t xml:space="preserve">The evaluation dashboard surfaces contradictory parameters across different tabs. The board has called an emergency session with your advisory group. Split into teams of </w:t>
      </w:r>
      <w:r>
        <w:rPr>
          <w:color w:themeColor="accent6" w:val="4EA72E"/>
          <w:highlight w:val="yellow"/>
        </w:rPr>
        <w:t>four</w:t>
      </w:r>
      <w:r>
        <w:rPr>
          <w:color w:themeColor="accent6" w:val="4EA72E"/>
        </w:rPr>
        <w:t xml:space="preserve"> </w:t>
      </w:r>
      <w:r>
        <w:rPr/>
        <w:t xml:space="preserve">to represent the core internal stakeholders. Each member must utilize their designated toolset from the Shiny application to justify their strategy, state their operational requirements, and outline their technical limits: </w:t>
      </w:r>
    </w:p>
    <w:p>
      <w:pPr>
        <w:pStyle w:val="Normal"/>
        <w:rPr>
          <w:b/>
          <w:bCs/>
        </w:rPr>
      </w:pPr>
      <w:r>
        <w:rPr>
          <w:rFonts w:cs="Segoe UI Emoji" w:ascii="Segoe UI Emoji" w:hAnsi="Segoe UI Emoji"/>
          <w:b/>
          <w:bCs/>
        </w:rPr>
        <w:t>👥</w:t>
      </w:r>
      <w:r>
        <w:rPr>
          <w:b/>
          <w:bCs/>
        </w:rPr>
        <w:t xml:space="preserve"> </w:t>
      </w:r>
      <w:r>
        <w:rPr>
          <w:b/>
          <w:bCs/>
        </w:rPr>
        <w:t>The Roles</w:t>
      </w:r>
    </w:p>
    <w:p>
      <w:pPr>
        <w:pStyle w:val="Normal"/>
        <w:numPr>
          <w:ilvl w:val="0"/>
          <w:numId w:val="7"/>
        </w:numPr>
        <w:rPr/>
      </w:pPr>
      <w:r>
        <w:rPr>
          <w:b/>
          <w:bCs/>
        </w:rPr>
        <w:t>Role 1: The External Oversight Auditor (Model Fidelity)</w:t>
      </w:r>
    </w:p>
    <w:p>
      <w:pPr>
        <w:pStyle w:val="Normal"/>
        <w:numPr>
          <w:ilvl w:val="1"/>
          <w:numId w:val="7"/>
        </w:numPr>
        <w:rPr/>
      </w:pPr>
      <w:r>
        <w:rPr>
          <w:i/>
          <w:iCs/>
        </w:rPr>
        <w:t>Tool Assignment:</w:t>
      </w:r>
      <w:r>
        <w:rPr/>
        <w:t xml:space="preserve"> LIME Neighbourhood plots &amp; Local R</w:t>
      </w:r>
      <w:r>
        <w:rPr>
          <w:vertAlign w:val="superscript"/>
        </w:rPr>
        <w:t>2</w:t>
      </w:r>
      <w:r>
        <w:rPr/>
        <w:t xml:space="preserve"> metrics.</w:t>
      </w:r>
    </w:p>
    <w:p>
      <w:pPr>
        <w:pStyle w:val="Normal"/>
        <w:numPr>
          <w:ilvl w:val="1"/>
          <w:numId w:val="7"/>
        </w:numPr>
        <w:rPr/>
      </w:pPr>
      <w:r>
        <w:rPr>
          <w:i/>
          <w:iCs/>
        </w:rPr>
        <w:t>Objective:</w:t>
      </w:r>
      <w:r>
        <w:rPr/>
        <w:t xml:space="preserve"> You are deeply suspicious of using automated linear rules on non-linear systems. You must show how changing the neighbourhood width alters the apparent local slope of features, and argue why a low local R</w:t>
      </w:r>
      <w:r>
        <w:rPr>
          <w:vertAlign w:val="superscript"/>
        </w:rPr>
        <w:t>2</w:t>
      </w:r>
      <w:r>
        <w:rPr/>
        <w:t xml:space="preserve"> indicates the explanation framework is misrepresenting the model's actual reasoning. </w:t>
      </w:r>
    </w:p>
    <w:p>
      <w:pPr>
        <w:pStyle w:val="Normal"/>
        <w:numPr>
          <w:ilvl w:val="1"/>
          <w:numId w:val="7"/>
        </w:numPr>
        <w:rPr/>
      </w:pPr>
      <w:r>
        <w:rPr>
          <w:i/>
          <w:iCs/>
        </w:rPr>
        <w:t>Boundary Check:</w:t>
      </w:r>
      <w:r>
        <w:rPr/>
        <w:t xml:space="preserve"> Detail what a high local R</w:t>
      </w:r>
      <w:r>
        <w:rPr>
          <w:vertAlign w:val="superscript"/>
        </w:rPr>
        <w:t>2</w:t>
      </w:r>
      <w:r>
        <w:rPr/>
        <w:t xml:space="preserve"> still fails to reveal about the model's broader global surface. </w:t>
      </w:r>
    </w:p>
    <w:p>
      <w:pPr>
        <w:pStyle w:val="Normal"/>
        <w:numPr>
          <w:ilvl w:val="0"/>
          <w:numId w:val="7"/>
        </w:numPr>
        <w:rPr/>
      </w:pPr>
      <w:r>
        <w:rPr>
          <w:b/>
          <w:bCs/>
        </w:rPr>
        <w:t>Role 2: The Chief Psychometrician (Statistical Attribution)</w:t>
      </w:r>
    </w:p>
    <w:p>
      <w:pPr>
        <w:pStyle w:val="Normal"/>
        <w:numPr>
          <w:ilvl w:val="1"/>
          <w:numId w:val="7"/>
        </w:numPr>
        <w:rPr/>
      </w:pPr>
      <w:r>
        <w:rPr>
          <w:i/>
          <w:iCs/>
        </w:rPr>
        <w:t>Tool Assignment:</w:t>
      </w:r>
      <w:r>
        <w:rPr/>
        <w:t xml:space="preserve"> SHAP Waterfall &amp; Feature Bar Plots.</w:t>
      </w:r>
    </w:p>
    <w:p>
      <w:pPr>
        <w:pStyle w:val="Normal"/>
        <w:numPr>
          <w:ilvl w:val="1"/>
          <w:numId w:val="7"/>
        </w:numPr>
        <w:rPr/>
      </w:pPr>
      <w:r>
        <w:rPr>
          <w:i/>
          <w:iCs/>
        </w:rPr>
        <w:t>Objective:</w:t>
      </w:r>
      <w:r>
        <w:rPr/>
        <w:t xml:space="preserve"> You must defend the fairness of the assessment using Lloyd Shapley’s game theory axioms. Explain why the efficiency and additivity properties make SHAP values the only reliable way to break down exactly how much deviation from the company baseline each management dimension is responsible for. </w:t>
      </w:r>
    </w:p>
    <w:p>
      <w:pPr>
        <w:pStyle w:val="Normal"/>
        <w:numPr>
          <w:ilvl w:val="1"/>
          <w:numId w:val="7"/>
        </w:numPr>
        <w:rPr/>
      </w:pPr>
      <w:r>
        <w:rPr>
          <w:i/>
          <w:iCs/>
        </w:rPr>
        <w:t>Boundary Check:</w:t>
      </w:r>
      <w:r>
        <w:rPr/>
        <w:t xml:space="preserve"> Explicitly warn the board against treating these attribution values as direct causal drivers for workplace interventions. </w:t>
      </w:r>
    </w:p>
    <w:p>
      <w:pPr>
        <w:pStyle w:val="Normal"/>
        <w:numPr>
          <w:ilvl w:val="0"/>
          <w:numId w:val="7"/>
        </w:numPr>
        <w:rPr/>
      </w:pPr>
      <w:r>
        <w:rPr>
          <w:b/>
          <w:bCs/>
        </w:rPr>
        <w:t>Role 3: The Impacted Department Manager (Actionable Recourse)</w:t>
      </w:r>
    </w:p>
    <w:p>
      <w:pPr>
        <w:pStyle w:val="Normal"/>
        <w:numPr>
          <w:ilvl w:val="1"/>
          <w:numId w:val="7"/>
        </w:numPr>
        <w:rPr/>
      </w:pPr>
      <w:r>
        <w:rPr>
          <w:i/>
          <w:iCs/>
        </w:rPr>
        <w:t>Tool Assignment:</w:t>
      </w:r>
      <w:r>
        <w:rPr/>
        <w:t xml:space="preserve"> App Sliders as Counterfactual Inputs.</w:t>
      </w:r>
    </w:p>
    <w:p>
      <w:pPr>
        <w:pStyle w:val="Normal"/>
        <w:numPr>
          <w:ilvl w:val="1"/>
          <w:numId w:val="7"/>
        </w:numPr>
        <w:rPr/>
      </w:pPr>
      <w:r>
        <w:rPr>
          <w:i/>
          <w:iCs/>
        </w:rPr>
        <w:t>Objective:</w:t>
      </w:r>
      <w:r>
        <w:rPr/>
        <w:t xml:space="preserve"> Your job is on the line. You are not interested in the grand mean of the corporation; you want to know what changes will save your department. Use the manual sliders to find the minimum proximity shifts required to flip the prediction from failing to passing. </w:t>
      </w:r>
    </w:p>
    <w:p>
      <w:pPr>
        <w:pStyle w:val="Normal"/>
        <w:numPr>
          <w:ilvl w:val="1"/>
          <w:numId w:val="7"/>
        </w:numPr>
        <w:rPr/>
      </w:pPr>
      <w:r>
        <w:rPr>
          <w:i/>
          <w:iCs/>
        </w:rPr>
        <w:t>Boundary Check:</w:t>
      </w:r>
      <w:r>
        <w:rPr/>
        <w:t xml:space="preserve"> Detail why certain algorithmic recommendations (e.g., demanding a massive shift in "special privileges") fail real-world plausibility or actionability constraints. </w:t>
      </w:r>
    </w:p>
    <w:p>
      <w:pPr>
        <w:pStyle w:val="Normal"/>
        <w:numPr>
          <w:ilvl w:val="0"/>
          <w:numId w:val="7"/>
        </w:numPr>
        <w:rPr/>
      </w:pPr>
      <w:r>
        <w:rPr>
          <w:b/>
          <w:bCs/>
        </w:rPr>
        <w:t>Role 4: The Chief Human Resources Officer (Strategic Governance)</w:t>
      </w:r>
    </w:p>
    <w:p>
      <w:pPr>
        <w:pStyle w:val="Normal"/>
        <w:numPr>
          <w:ilvl w:val="1"/>
          <w:numId w:val="7"/>
        </w:numPr>
        <w:rPr/>
      </w:pPr>
      <w:r>
        <w:rPr>
          <w:i/>
          <w:iCs/>
        </w:rPr>
        <w:t>Tool Assignment:</w:t>
      </w:r>
      <w:r>
        <w:rPr/>
        <w:t xml:space="preserve"> Global Dataset Baselines &amp; The Plain-English Guide.</w:t>
      </w:r>
    </w:p>
    <w:p>
      <w:pPr>
        <w:pStyle w:val="Normal"/>
        <w:numPr>
          <w:ilvl w:val="1"/>
          <w:numId w:val="7"/>
        </w:numPr>
        <w:rPr/>
      </w:pPr>
      <w:r>
        <w:rPr>
          <w:i/>
          <w:iCs/>
        </w:rPr>
        <w:t>Objective:</w:t>
      </w:r>
      <w:r>
        <w:rPr/>
        <w:t xml:space="preserve"> You must protect organizational stability and ensure compliance with emerging sector transparency guidelines. Explain how population-level behaviour maps to uniform corporate training programs, and defend why a clear explanation is necessary to prevent employee litigation. </w:t>
      </w:r>
    </w:p>
    <w:p>
      <w:pPr>
        <w:pStyle w:val="Normal"/>
        <w:numPr>
          <w:ilvl w:val="1"/>
          <w:numId w:val="7"/>
        </w:numPr>
        <w:rPr/>
      </w:pPr>
      <w:r>
        <w:rPr>
          <w:i/>
          <w:iCs/>
        </w:rPr>
        <w:t>Boundary Check:</w:t>
      </w:r>
      <w:r>
        <w:rPr/>
        <w:t xml:space="preserve"> Address the operational threat highlighted by Bhatt et al. (2020) regarding dashboards that are primarily designed for data scientists rather than the operational end-users they serve. </w:t>
      </w:r>
    </w:p>
    <w:p>
      <w:pPr>
        <w:pStyle w:val="Normal"/>
        <w:rPr>
          <w:b/>
          <w:bCs/>
        </w:rPr>
      </w:pPr>
      <w:r>
        <w:rPr>
          <w:b/>
          <w:bCs/>
        </w:rPr>
        <w:t>Task &amp; Deliverable (per group)</w:t>
      </w:r>
    </w:p>
    <w:p>
      <w:pPr>
        <w:pStyle w:val="Normal"/>
        <w:numPr>
          <w:ilvl w:val="0"/>
          <w:numId w:val="8"/>
        </w:numPr>
        <w:rPr/>
      </w:pPr>
      <w:r>
        <w:rPr>
          <w:b/>
          <w:bCs/>
        </w:rPr>
        <w:t>The Position Briefing (45 mins):</w:t>
      </w:r>
      <w:r>
        <w:rPr/>
        <w:t xml:space="preserve"> Groups decouple to run individual trials on the Shiny app. Each role documents their technical position based on the tables and limitations outlined in the session readings. </w:t>
      </w:r>
    </w:p>
    <w:p>
      <w:pPr>
        <w:pStyle w:val="Normal"/>
        <w:numPr>
          <w:ilvl w:val="0"/>
          <w:numId w:val="8"/>
        </w:numPr>
        <w:rPr/>
      </w:pPr>
      <w:r>
        <w:rPr>
          <w:b/>
          <w:bCs/>
        </w:rPr>
        <w:t>The Roundtable Debate (45 mins):</w:t>
      </w:r>
      <w:r>
        <w:rPr/>
        <w:t xml:space="preserve"> Convene the formal boardroom hearing. Each stakeholder delivers a 3-minute testimony to defend their operational parameters, cross-examining opposing members on their tool's specific validation vulnerabilities (e.g., seed dependence, background-dataset dependencies). </w:t>
      </w:r>
    </w:p>
    <w:p>
      <w:pPr>
        <w:pStyle w:val="Normal"/>
        <w:numPr>
          <w:ilvl w:val="0"/>
          <w:numId w:val="8"/>
        </w:numPr>
        <w:rPr/>
      </w:pPr>
      <w:r>
        <w:rPr>
          <w:b/>
          <w:bCs/>
        </w:rPr>
        <w:t>The Executive Synthesis Log (30 mins):</w:t>
      </w:r>
      <w:r>
        <w:rPr/>
        <w:t xml:space="preserve"> Compile a joint 1-page consulting report. The document must define why distributing a singular, uniform explanation format across all corporate tiers results in systemic operational failure, citing the historical validation pitfalls of post-hoc frameworks. </w:t>
      </w:r>
    </w:p>
    <w:p>
      <w:pPr>
        <w:pStyle w:val="Normal"/>
        <w:rPr/>
      </w:pPr>
      <w:r>
        <w:rPr/>
      </w:r>
    </w:p>
    <w:p>
      <w:pPr>
        <w:pStyle w:val="Normal"/>
        <w:rPr/>
      </w:pPr>
      <w:r>
        <w:rPr/>
        <w:t xml:space="preserve">For the task and deliverable use a Google doc with the template provided below. Once the document is completed, please have one of the group members share the link with Fernando via email. </w:t>
      </w:r>
    </w:p>
    <w:p>
      <w:pPr>
        <w:pStyle w:val="Normal"/>
        <w:rPr/>
      </w:pPr>
      <w:r>
        <w:rPr/>
        <w:t>Template =</w:t>
      </w:r>
    </w:p>
    <w:p>
      <w:pPr>
        <w:pStyle w:val="Normal"/>
        <w:rPr>
          <w:color w:themeColor="background1" w:themeShade="80" w:val="808080"/>
        </w:rPr>
      </w:pPr>
      <w:r>
        <w:rPr>
          <w:color w:themeColor="background1" w:themeShade="80" w:val="808080"/>
        </w:rPr>
        <w:t>Name of group = [use the names used in the Roles]</w:t>
      </w:r>
    </w:p>
    <w:p>
      <w:pPr>
        <w:pStyle w:val="ListParagraph"/>
        <w:numPr>
          <w:ilvl w:val="0"/>
          <w:numId w:val="11"/>
        </w:numPr>
        <w:rPr>
          <w:color w:themeColor="background1" w:themeShade="80" w:val="808080"/>
        </w:rPr>
      </w:pPr>
      <w:r>
        <w:rPr>
          <w:color w:themeColor="background1" w:themeShade="80" w:val="808080"/>
        </w:rPr>
        <w:t>Position briefing [list all points consider | see requirements above]</w:t>
      </w:r>
    </w:p>
    <w:p>
      <w:pPr>
        <w:pStyle w:val="ListParagraph"/>
        <w:numPr>
          <w:ilvl w:val="0"/>
          <w:numId w:val="11"/>
        </w:numPr>
        <w:rPr>
          <w:color w:themeColor="background1" w:themeShade="80" w:val="808080"/>
        </w:rPr>
      </w:pPr>
      <w:r>
        <w:rPr>
          <w:color w:themeColor="background1" w:themeShade="80" w:val="808080"/>
        </w:rPr>
        <w:t>Roundtable debate [list all points consider | see requirements above]</w:t>
      </w:r>
    </w:p>
    <w:p>
      <w:pPr>
        <w:pStyle w:val="ListParagraph"/>
        <w:numPr>
          <w:ilvl w:val="0"/>
          <w:numId w:val="11"/>
        </w:numPr>
        <w:rPr>
          <w:color w:themeColor="background1" w:themeShade="80" w:val="808080"/>
        </w:rPr>
      </w:pPr>
      <w:r>
        <w:rPr>
          <w:color w:themeColor="background1" w:themeShade="80" w:val="808080"/>
        </w:rPr>
        <w:t>Executive synthesis [list all points consider | see requirements above]</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apple-system">
    <w:altName w:val="BlinkMacSystemFont"/>
    <w:charset w:val="01" w:characterSet="utf-8"/>
    <w:family w:val="auto"/>
    <w:pitch w:val="default"/>
  </w:font>
  <w:font w:name="Segoe UI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db3c8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b3c8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b3c8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b3c8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b3c8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b3c8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b3c8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b3c8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b3c8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uiPriority w:val="9"/>
    <w:qFormat/>
    <w:rsid w:val="00db3c8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db3c8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db3c8f"/>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db3c8f"/>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db3c8f"/>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db3c8f"/>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db3c8f"/>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db3c8f"/>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db3c8f"/>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db3c8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db3c8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b3c8f"/>
    <w:rPr>
      <w:i/>
      <w:iCs/>
      <w:color w:themeColor="text1" w:themeTint="bf" w:val="404040"/>
    </w:rPr>
  </w:style>
  <w:style w:type="character" w:styleId="IntenseEmphasis">
    <w:name w:val="Intense Emphasis"/>
    <w:basedOn w:val="DefaultParagraphFont"/>
    <w:uiPriority w:val="21"/>
    <w:qFormat/>
    <w:rsid w:val="00db3c8f"/>
    <w:rPr>
      <w:i/>
      <w:iCs/>
      <w:color w:themeColor="accent1" w:themeShade="bf" w:val="0F4761"/>
    </w:rPr>
  </w:style>
  <w:style w:type="character" w:styleId="IntenseQuoteChar" w:customStyle="1">
    <w:name w:val="Intense Quote Char"/>
    <w:basedOn w:val="DefaultParagraphFont"/>
    <w:link w:val="IntenseQuote"/>
    <w:uiPriority w:val="30"/>
    <w:qFormat/>
    <w:rsid w:val="00db3c8f"/>
    <w:rPr>
      <w:i/>
      <w:iCs/>
      <w:color w:themeColor="accent1" w:themeShade="bf" w:val="0F4761"/>
    </w:rPr>
  </w:style>
  <w:style w:type="character" w:styleId="IntenseReference">
    <w:name w:val="Intense Reference"/>
    <w:basedOn w:val="DefaultParagraphFont"/>
    <w:uiPriority w:val="32"/>
    <w:qFormat/>
    <w:rsid w:val="00db3c8f"/>
    <w:rPr>
      <w:b/>
      <w:bCs/>
      <w:smallCaps/>
      <w:color w:themeColor="accent1" w:themeShade="bf" w:val="0F4761"/>
      <w:spacing w:val="5"/>
    </w:rPr>
  </w:style>
  <w:style w:type="character" w:styleId="Strong">
    <w:name w:val="Strong"/>
    <w:basedOn w:val="DefaultParagraphFont"/>
    <w:uiPriority w:val="22"/>
    <w:qFormat/>
    <w:rsid w:val="00515e63"/>
    <w:rPr>
      <w:b/>
      <w:bCs/>
    </w:rPr>
  </w:style>
  <w:style w:type="character" w:styleId="Hyperlink">
    <w:name w:val="Hyperlink"/>
    <w:basedOn w:val="DefaultParagraphFont"/>
    <w:uiPriority w:val="99"/>
    <w:unhideWhenUsed/>
    <w:rsid w:val="00151387"/>
    <w:rPr>
      <w:color w:themeColor="hyperlink" w:val="467886"/>
      <w:u w:val="single"/>
    </w:rPr>
  </w:style>
  <w:style w:type="character" w:styleId="UnresolvedMention">
    <w:name w:val="Unresolved Mention"/>
    <w:basedOn w:val="DefaultParagraphFont"/>
    <w:uiPriority w:val="99"/>
    <w:semiHidden/>
    <w:unhideWhenUsed/>
    <w:qFormat/>
    <w:rsid w:val="00151387"/>
    <w:rPr>
      <w:color w:val="605E5C"/>
      <w:shd w:fill="E1DFDD" w:val="clear"/>
    </w:rPr>
  </w:style>
  <w:style w:type="character" w:styleId="Textooriginal">
    <w:name w:val="Texto original"/>
    <w:qFormat/>
    <w:rPr>
      <w:rFonts w:ascii="Liberation Mono" w:hAnsi="Liberation Mono" w:eastAsia="Liberation Mono" w:cs="Liberation Mono"/>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itleChar"/>
    <w:uiPriority w:val="10"/>
    <w:qFormat/>
    <w:rsid w:val="00db3c8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b3c8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b3c8f"/>
    <w:pPr>
      <w:spacing w:before="160" w:after="160"/>
      <w:jc w:val="center"/>
    </w:pPr>
    <w:rPr>
      <w:i/>
      <w:iCs/>
      <w:color w:themeColor="text1" w:themeTint="bf" w:val="404040"/>
    </w:rPr>
  </w:style>
  <w:style w:type="paragraph" w:styleId="ListParagraph">
    <w:name w:val="List Paragraph"/>
    <w:basedOn w:val="Normal"/>
    <w:uiPriority w:val="34"/>
    <w:qFormat/>
    <w:rsid w:val="00db3c8f"/>
    <w:pPr>
      <w:spacing w:before="0" w:after="160"/>
      <w:ind w:start="720"/>
      <w:contextualSpacing/>
    </w:pPr>
    <w:rPr/>
  </w:style>
  <w:style w:type="paragraph" w:styleId="IntenseQuote">
    <w:name w:val="Intense Quote"/>
    <w:basedOn w:val="Normal"/>
    <w:next w:val="Normal"/>
    <w:link w:val="IntenseQuoteChar"/>
    <w:uiPriority w:val="30"/>
    <w:qFormat/>
    <w:rsid w:val="00db3c8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d072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loclub.github.io/webshap/" TargetMode="External"/><Relationship Id="rId3" Type="http://schemas.openxmlformats.org/officeDocument/2006/relationships/hyperlink" Target="https://www.menti.com/alurs1mmmgou"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B26B05198F3D48B88BEA1277B2DC12" ma:contentTypeVersion="3" ma:contentTypeDescription="Create a new document." ma:contentTypeScope="" ma:versionID="ce3acd17e63902ee587038a7f0c30aaf">
  <xsd:schema xmlns:xsd="http://www.w3.org/2001/XMLSchema" xmlns:xs="http://www.w3.org/2001/XMLSchema" xmlns:p="http://schemas.microsoft.com/office/2006/metadata/properties" xmlns:ns2="5d349878-cacb-4bb0-a51b-ea975e0bb00e" targetNamespace="http://schemas.microsoft.com/office/2006/metadata/properties" ma:root="true" ma:fieldsID="6eabf5968aae1c7e45605c0e250bc3c2" ns2:_="">
    <xsd:import namespace="5d349878-cacb-4bb0-a51b-ea975e0bb0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49878-cacb-4bb0-a51b-ea975e0bb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6664F1-85CA-4EF3-B421-F988FD291485}"/>
</file>

<file path=customXml/itemProps2.xml><?xml version="1.0" encoding="utf-8"?>
<ds:datastoreItem xmlns:ds="http://schemas.openxmlformats.org/officeDocument/2006/customXml" ds:itemID="{0E513EDE-8C43-4C83-806D-2B1556F30C17}"/>
</file>

<file path=customXml/itemProps3.xml><?xml version="1.0" encoding="utf-8"?>
<ds:datastoreItem xmlns:ds="http://schemas.openxmlformats.org/officeDocument/2006/customXml" ds:itemID="{10BBB912-1FFE-4274-ACF9-80ECB192F0A9}"/>
</file>

<file path=docProps/app.xml><?xml version="1.0" encoding="utf-8"?>
<Properties xmlns="http://schemas.openxmlformats.org/officeDocument/2006/extended-properties" xmlns:vt="http://schemas.openxmlformats.org/officeDocument/2006/docPropsVTypes">
  <Template>Normal</Template>
  <TotalTime>1275</TotalTime>
  <Application>LibreOffice/26.2.4.2$Linux_X86_64 LibreOffice_project/620$Build-2</Application>
  <AppVersion>15.0000</AppVersion>
  <Pages>9</Pages>
  <Words>1775</Words>
  <Characters>10202</Characters>
  <CharactersWithSpaces>11840</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2026-06-10T02:05:00Z</dcterms:created>
  <dc:creator>Fernando Marmolejo Ramos</dc:creator>
  <dc:description/>
  <dc:language>es-ES</dc:language>
  <cp:lastModifiedBy/>
  <dcterms:modified xsi:type="dcterms:W3CDTF">2026-07-09T13:25:33Z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0x010100A6B26B05198F3D48B88BEA1277B2DC12</vt:lpwstr>
  </property>
</Properties>
</file>