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tblLayout w:type="fixed"/>
        <w:tblLook w:val="0600" w:firstRow="0" w:lastRow="0" w:firstColumn="0" w:lastColumn="0" w:noHBand="1" w:noVBand="1"/>
      </w:tblPr>
      <w:tblGrid>
        <w:gridCol w:w="2370"/>
        <w:gridCol w:w="6630"/>
      </w:tblGrid>
      <w:tr w:rsidR="00E90D40" w:rsidRPr="00F3417B" w:rsidTr="0001113A">
        <w:trPr>
          <w:trHeight w:val="1004"/>
        </w:trPr>
        <w:tc>
          <w:tcPr>
            <w:tcW w:w="2370" w:type="dxa"/>
            <w:shd w:val="clear" w:color="auto" w:fill="62A5AE"/>
            <w:tcMar>
              <w:top w:w="100" w:type="dxa"/>
              <w:left w:w="100" w:type="dxa"/>
              <w:bottom w:w="100" w:type="dxa"/>
              <w:right w:w="100" w:type="dxa"/>
            </w:tcMar>
          </w:tcPr>
          <w:p w:rsidR="00E90D40" w:rsidRPr="00E90D40" w:rsidRDefault="00E90D40" w:rsidP="00E90D40">
            <w:pPr>
              <w:spacing w:after="160" w:line="259" w:lineRule="auto"/>
              <w:rPr>
                <w:rFonts w:ascii="Verdana" w:eastAsia="Calibri" w:hAnsi="Verdana" w:cs="Times New Roman"/>
                <w:color w:val="auto"/>
                <w:sz w:val="20"/>
                <w:szCs w:val="20"/>
                <w:lang w:val="es-ES"/>
              </w:rPr>
            </w:pPr>
            <w:bookmarkStart w:id="0" w:name="_GoBack"/>
            <w:bookmarkEnd w:id="0"/>
          </w:p>
        </w:tc>
        <w:tc>
          <w:tcPr>
            <w:tcW w:w="6630" w:type="dxa"/>
            <w:tcMar>
              <w:top w:w="283" w:type="dxa"/>
              <w:left w:w="283" w:type="dxa"/>
              <w:bottom w:w="283" w:type="dxa"/>
              <w:right w:w="283" w:type="dxa"/>
            </w:tcMar>
          </w:tcPr>
          <w:p w:rsidR="00E90D40" w:rsidRPr="00E90D40" w:rsidRDefault="00E90D40" w:rsidP="00E90D40">
            <w:pPr>
              <w:keepNext/>
              <w:keepLines/>
              <w:spacing w:after="60" w:line="276" w:lineRule="auto"/>
              <w:contextualSpacing/>
              <w:jc w:val="both"/>
              <w:rPr>
                <w:rFonts w:ascii="Verdana" w:eastAsia="Merriweather Sans" w:hAnsi="Verdana" w:cs="Merriweather Sans"/>
                <w:color w:val="F06B2A"/>
                <w:sz w:val="36"/>
                <w:szCs w:val="36"/>
                <w:lang w:val="es-ES" w:eastAsia="es-ES"/>
              </w:rPr>
            </w:pPr>
            <w:r w:rsidRPr="00E90D40">
              <w:rPr>
                <w:rFonts w:ascii="Verdana" w:eastAsia="Merriweather Sans" w:hAnsi="Verdana" w:cs="Merriweather Sans"/>
                <w:color w:val="F06B2A"/>
                <w:sz w:val="36"/>
                <w:szCs w:val="36"/>
                <w:lang w:val="es-ES" w:eastAsia="es-ES"/>
              </w:rPr>
              <w:t>Auditoría</w:t>
            </w:r>
          </w:p>
          <w:p w:rsidR="00E90D40" w:rsidRPr="00E90D40" w:rsidRDefault="00E90D40" w:rsidP="00E90D40">
            <w:pPr>
              <w:keepNext/>
              <w:keepLines/>
              <w:spacing w:after="60" w:line="276" w:lineRule="auto"/>
              <w:contextualSpacing/>
              <w:jc w:val="both"/>
              <w:rPr>
                <w:rFonts w:ascii="Verdana" w:eastAsia="Merriweather Sans" w:hAnsi="Verdana" w:cs="Merriweather Sans"/>
                <w:color w:val="F06B2A"/>
                <w:sz w:val="36"/>
                <w:szCs w:val="36"/>
                <w:lang w:val="es-ES" w:eastAsia="es-ES"/>
              </w:rPr>
            </w:pPr>
            <w:r w:rsidRPr="00E90D40">
              <w:rPr>
                <w:rFonts w:ascii="Verdana" w:eastAsia="Merriweather Sans" w:hAnsi="Verdana" w:cs="Merriweather Sans"/>
                <w:color w:val="F06B2A"/>
                <w:sz w:val="36"/>
                <w:szCs w:val="36"/>
                <w:lang w:val="es-ES" w:eastAsia="es-ES"/>
              </w:rPr>
              <w:t>Ciudadana</w:t>
            </w:r>
          </w:p>
          <w:p w:rsidR="00E90D40" w:rsidRPr="00E90D40" w:rsidRDefault="00E90D40" w:rsidP="00E90D40">
            <w:pPr>
              <w:keepNext/>
              <w:keepLines/>
              <w:spacing w:after="60" w:line="276" w:lineRule="auto"/>
              <w:contextualSpacing/>
              <w:jc w:val="both"/>
              <w:rPr>
                <w:rFonts w:ascii="Verdana" w:eastAsia="Merriweather Sans" w:hAnsi="Verdana" w:cs="Merriweather Sans"/>
                <w:color w:val="F06B2A"/>
                <w:sz w:val="36"/>
                <w:szCs w:val="36"/>
                <w:lang w:val="es-ES" w:eastAsia="es-ES"/>
              </w:rPr>
            </w:pPr>
            <w:r w:rsidRPr="00E90D40">
              <w:rPr>
                <w:rFonts w:ascii="Verdana" w:eastAsia="Merriweather Sans" w:hAnsi="Verdana" w:cs="Merriweather Sans"/>
                <w:color w:val="F06B2A"/>
                <w:sz w:val="36"/>
                <w:szCs w:val="36"/>
                <w:lang w:val="es-ES" w:eastAsia="es-ES"/>
              </w:rPr>
              <w:t>del Ayuntamiento</w:t>
            </w:r>
          </w:p>
          <w:p w:rsidR="00E90D40" w:rsidRPr="00E90D40" w:rsidRDefault="00E90D40" w:rsidP="00E90D40">
            <w:pPr>
              <w:keepNext/>
              <w:keepLines/>
              <w:spacing w:after="60" w:line="276" w:lineRule="auto"/>
              <w:contextualSpacing/>
              <w:jc w:val="both"/>
              <w:rPr>
                <w:rFonts w:ascii="Verdana" w:eastAsia="Merriweather Sans" w:hAnsi="Verdana" w:cs="Merriweather Sans"/>
                <w:color w:val="F06B2A"/>
                <w:sz w:val="20"/>
                <w:szCs w:val="20"/>
                <w:lang w:val="es-ES" w:eastAsia="es-ES"/>
              </w:rPr>
            </w:pPr>
            <w:bookmarkStart w:id="1" w:name="_su67up9rxwiy" w:colFirst="0" w:colLast="0"/>
            <w:bookmarkEnd w:id="1"/>
            <w:r w:rsidRPr="00E90D40">
              <w:rPr>
                <w:rFonts w:ascii="Verdana" w:eastAsia="Merriweather Sans" w:hAnsi="Verdana" w:cs="Merriweather Sans"/>
                <w:color w:val="F06B2A"/>
                <w:sz w:val="36"/>
                <w:szCs w:val="36"/>
                <w:lang w:val="es-ES" w:eastAsia="es-ES"/>
              </w:rPr>
              <w:t>de Madrid</w:t>
            </w:r>
          </w:p>
        </w:tc>
      </w:tr>
      <w:tr w:rsidR="00E90D40" w:rsidRPr="00F3417B" w:rsidTr="0001113A">
        <w:tc>
          <w:tcPr>
            <w:tcW w:w="2370" w:type="dxa"/>
            <w:shd w:val="clear" w:color="auto" w:fill="62A5AE"/>
            <w:tcMar>
              <w:top w:w="283" w:type="dxa"/>
              <w:left w:w="283" w:type="dxa"/>
              <w:bottom w:w="283" w:type="dxa"/>
              <w:right w:w="283" w:type="dxa"/>
            </w:tcMar>
          </w:tcPr>
          <w:p w:rsidR="00E90D40" w:rsidRPr="00E90D40" w:rsidRDefault="00E90D40" w:rsidP="00E90D40">
            <w:pPr>
              <w:widowControl w:val="0"/>
              <w:spacing w:after="0"/>
              <w:jc w:val="right"/>
              <w:rPr>
                <w:rFonts w:ascii="Verdana" w:eastAsia="Merriweather Sans" w:hAnsi="Verdana" w:cs="Merriweather Sans"/>
                <w:color w:val="FFFFFF"/>
                <w:sz w:val="32"/>
                <w:szCs w:val="32"/>
                <w:lang w:val="es-ES"/>
              </w:rPr>
            </w:pPr>
            <w:r w:rsidRPr="00E90D40">
              <w:rPr>
                <w:rFonts w:ascii="Verdana" w:eastAsia="Merriweather Sans" w:hAnsi="Verdana" w:cs="Merriweather Sans"/>
                <w:color w:val="FFFFFF"/>
                <w:sz w:val="32"/>
                <w:szCs w:val="32"/>
                <w:lang w:val="es-ES"/>
              </w:rPr>
              <w:t>Caso</w:t>
            </w:r>
          </w:p>
        </w:tc>
        <w:tc>
          <w:tcPr>
            <w:tcW w:w="6630" w:type="dxa"/>
            <w:tcMar>
              <w:top w:w="283" w:type="dxa"/>
              <w:left w:w="283" w:type="dxa"/>
              <w:bottom w:w="283" w:type="dxa"/>
              <w:right w:w="283" w:type="dxa"/>
            </w:tcMar>
          </w:tcPr>
          <w:p w:rsidR="00E90D40" w:rsidRPr="00E90D40" w:rsidRDefault="00E90D40" w:rsidP="00E90D40">
            <w:pPr>
              <w:widowControl w:val="0"/>
              <w:spacing w:after="0"/>
              <w:rPr>
                <w:rFonts w:ascii="Verdana" w:eastAsia="Merriweather Sans" w:hAnsi="Verdana" w:cs="Merriweather Sans"/>
                <w:color w:val="0A5072"/>
                <w:sz w:val="32"/>
                <w:szCs w:val="32"/>
                <w:lang w:val="es-ES"/>
              </w:rPr>
            </w:pPr>
            <w:r w:rsidRPr="00E90D40">
              <w:rPr>
                <w:rFonts w:ascii="Verdana" w:eastAsia="Merriweather Sans" w:hAnsi="Verdana" w:cs="Merriweather Sans"/>
                <w:color w:val="0A5072"/>
                <w:sz w:val="32"/>
                <w:szCs w:val="32"/>
                <w:lang w:val="es-ES"/>
              </w:rPr>
              <w:t>Talleres de Formación en los Centros Culturales del distrito de Usera</w:t>
            </w:r>
          </w:p>
        </w:tc>
      </w:tr>
      <w:tr w:rsidR="00E90D40" w:rsidRPr="00E90D40" w:rsidTr="0001113A">
        <w:trPr>
          <w:trHeight w:val="302"/>
        </w:trPr>
        <w:tc>
          <w:tcPr>
            <w:tcW w:w="2370" w:type="dxa"/>
            <w:shd w:val="clear" w:color="auto" w:fill="62A5AE"/>
            <w:tcMar>
              <w:top w:w="283" w:type="dxa"/>
              <w:left w:w="283" w:type="dxa"/>
              <w:bottom w:w="283" w:type="dxa"/>
              <w:right w:w="283" w:type="dxa"/>
            </w:tcMar>
          </w:tcPr>
          <w:p w:rsidR="00E90D40" w:rsidRPr="00E90D40" w:rsidRDefault="00E90D40" w:rsidP="00E90D40">
            <w:pPr>
              <w:widowControl w:val="0"/>
              <w:spacing w:after="0"/>
              <w:jc w:val="right"/>
              <w:rPr>
                <w:rFonts w:ascii="Verdana" w:eastAsia="Merriweather Sans" w:hAnsi="Verdana" w:cs="Merriweather Sans"/>
                <w:color w:val="FFFFFF"/>
                <w:sz w:val="32"/>
                <w:szCs w:val="32"/>
                <w:lang w:val="es-ES"/>
              </w:rPr>
            </w:pPr>
            <w:r w:rsidRPr="00E90D40">
              <w:rPr>
                <w:rFonts w:ascii="Verdana" w:eastAsia="Merriweather Sans" w:hAnsi="Verdana" w:cs="Merriweather Sans"/>
                <w:color w:val="FFFFFF"/>
                <w:sz w:val="32"/>
                <w:szCs w:val="32"/>
                <w:lang w:val="es-ES"/>
              </w:rPr>
              <w:t>Distrito</w:t>
            </w:r>
          </w:p>
        </w:tc>
        <w:tc>
          <w:tcPr>
            <w:tcW w:w="6630" w:type="dxa"/>
            <w:tcMar>
              <w:top w:w="283" w:type="dxa"/>
              <w:left w:w="283" w:type="dxa"/>
              <w:bottom w:w="283" w:type="dxa"/>
              <w:right w:w="283" w:type="dxa"/>
            </w:tcMar>
          </w:tcPr>
          <w:p w:rsidR="00E90D40" w:rsidRPr="00E90D40" w:rsidRDefault="00E90D40" w:rsidP="00E90D40">
            <w:pPr>
              <w:widowControl w:val="0"/>
              <w:spacing w:after="0"/>
              <w:rPr>
                <w:rFonts w:ascii="Verdana" w:eastAsia="Merriweather Sans" w:hAnsi="Verdana" w:cs="Merriweather Sans"/>
                <w:color w:val="0A5072"/>
                <w:sz w:val="32"/>
                <w:szCs w:val="32"/>
                <w:lang w:val="es-ES"/>
              </w:rPr>
            </w:pPr>
            <w:r w:rsidRPr="00E90D40">
              <w:rPr>
                <w:rFonts w:ascii="Verdana" w:eastAsia="Merriweather Sans" w:hAnsi="Verdana" w:cs="Merriweather Sans"/>
                <w:color w:val="0A5072"/>
                <w:sz w:val="32"/>
                <w:szCs w:val="32"/>
                <w:lang w:val="es-ES"/>
              </w:rPr>
              <w:t>Usera</w:t>
            </w:r>
          </w:p>
        </w:tc>
      </w:tr>
      <w:tr w:rsidR="00E90D40" w:rsidRPr="00F3417B" w:rsidTr="0001113A">
        <w:trPr>
          <w:trHeight w:val="554"/>
        </w:trPr>
        <w:tc>
          <w:tcPr>
            <w:tcW w:w="2370" w:type="dxa"/>
            <w:shd w:val="clear" w:color="auto" w:fill="62A5AE"/>
            <w:tcMar>
              <w:top w:w="283" w:type="dxa"/>
              <w:left w:w="283" w:type="dxa"/>
              <w:bottom w:w="283" w:type="dxa"/>
              <w:right w:w="283" w:type="dxa"/>
            </w:tcMar>
          </w:tcPr>
          <w:p w:rsidR="00E90D40" w:rsidRPr="00E90D40" w:rsidRDefault="00E90D40" w:rsidP="00E90D40">
            <w:pPr>
              <w:widowControl w:val="0"/>
              <w:spacing w:after="0"/>
              <w:jc w:val="right"/>
              <w:rPr>
                <w:rFonts w:ascii="Verdana" w:eastAsia="Merriweather Sans" w:hAnsi="Verdana" w:cs="Merriweather Sans"/>
                <w:color w:val="FFFFFF"/>
                <w:sz w:val="32"/>
                <w:szCs w:val="32"/>
                <w:lang w:val="es-ES"/>
              </w:rPr>
            </w:pPr>
            <w:r w:rsidRPr="00E90D40">
              <w:rPr>
                <w:rFonts w:ascii="Verdana" w:eastAsia="Merriweather Sans" w:hAnsi="Verdana" w:cs="Merriweather Sans"/>
                <w:color w:val="FFFFFF"/>
                <w:sz w:val="32"/>
                <w:szCs w:val="32"/>
                <w:lang w:val="es-ES"/>
              </w:rPr>
              <w:t>Autor</w:t>
            </w:r>
          </w:p>
        </w:tc>
        <w:tc>
          <w:tcPr>
            <w:tcW w:w="6630" w:type="dxa"/>
            <w:tcMar>
              <w:top w:w="283" w:type="dxa"/>
              <w:left w:w="283" w:type="dxa"/>
              <w:bottom w:w="283" w:type="dxa"/>
              <w:right w:w="283" w:type="dxa"/>
            </w:tcMar>
          </w:tcPr>
          <w:p w:rsidR="00E90D40" w:rsidRPr="00E90D40" w:rsidRDefault="00E90D40" w:rsidP="00E90D40">
            <w:pPr>
              <w:widowControl w:val="0"/>
              <w:spacing w:after="0"/>
              <w:rPr>
                <w:rFonts w:ascii="Verdana" w:eastAsia="Merriweather Sans" w:hAnsi="Verdana" w:cs="Merriweather Sans"/>
                <w:color w:val="0A5072"/>
                <w:sz w:val="32"/>
                <w:szCs w:val="32"/>
                <w:lang w:val="es-ES"/>
              </w:rPr>
            </w:pPr>
            <w:r w:rsidRPr="00E90D40">
              <w:rPr>
                <w:rFonts w:ascii="Verdana" w:eastAsia="Merriweather Sans" w:hAnsi="Verdana" w:cs="Merriweather Sans"/>
                <w:color w:val="0A5072"/>
                <w:sz w:val="32"/>
                <w:szCs w:val="32"/>
                <w:lang w:val="es-ES"/>
              </w:rPr>
              <w:t>Grupo Auditor Usera (</w:t>
            </w:r>
            <w:r w:rsidRPr="00E90D40">
              <w:rPr>
                <w:rFonts w:ascii="Verdana" w:eastAsia="Merriweather Sans" w:hAnsi="Verdana" w:cs="Merriweather Sans"/>
                <w:b/>
                <w:color w:val="0A5072"/>
                <w:sz w:val="32"/>
                <w:szCs w:val="32"/>
                <w:lang w:val="es-ES"/>
              </w:rPr>
              <w:t>Audita Usera</w:t>
            </w:r>
            <w:r w:rsidRPr="00E90D40">
              <w:rPr>
                <w:rFonts w:ascii="Verdana" w:eastAsia="Merriweather Sans" w:hAnsi="Verdana" w:cs="Merriweather Sans"/>
                <w:color w:val="0A5072"/>
                <w:sz w:val="32"/>
                <w:szCs w:val="32"/>
                <w:lang w:val="es-ES"/>
              </w:rPr>
              <w:t>) (auditausera@gmail.com)</w:t>
            </w:r>
          </w:p>
        </w:tc>
      </w:tr>
      <w:tr w:rsidR="00E90D40" w:rsidRPr="00E90D40" w:rsidTr="0001113A">
        <w:trPr>
          <w:trHeight w:val="347"/>
        </w:trPr>
        <w:tc>
          <w:tcPr>
            <w:tcW w:w="2370" w:type="dxa"/>
            <w:shd w:val="clear" w:color="auto" w:fill="62A5AE"/>
            <w:tcMar>
              <w:top w:w="283" w:type="dxa"/>
              <w:left w:w="283" w:type="dxa"/>
              <w:bottom w:w="283" w:type="dxa"/>
              <w:right w:w="283" w:type="dxa"/>
            </w:tcMar>
          </w:tcPr>
          <w:p w:rsidR="00E90D40" w:rsidRPr="00E90D40" w:rsidRDefault="00E90D40" w:rsidP="00E90D40">
            <w:pPr>
              <w:widowControl w:val="0"/>
              <w:spacing w:after="0"/>
              <w:jc w:val="right"/>
              <w:rPr>
                <w:rFonts w:ascii="Verdana" w:eastAsia="Merriweather Sans" w:hAnsi="Verdana" w:cs="Merriweather Sans"/>
                <w:color w:val="FFFFFF"/>
                <w:sz w:val="32"/>
                <w:szCs w:val="32"/>
                <w:lang w:val="es-ES"/>
              </w:rPr>
            </w:pPr>
          </w:p>
          <w:p w:rsidR="00E90D40" w:rsidRPr="00E90D40" w:rsidRDefault="00E90D40" w:rsidP="00E90D40">
            <w:pPr>
              <w:widowControl w:val="0"/>
              <w:spacing w:after="0"/>
              <w:jc w:val="right"/>
              <w:rPr>
                <w:rFonts w:ascii="Verdana" w:eastAsia="Merriweather Sans" w:hAnsi="Verdana" w:cs="Merriweather Sans"/>
                <w:color w:val="FFFFFF"/>
                <w:sz w:val="32"/>
                <w:szCs w:val="32"/>
                <w:lang w:val="es-ES"/>
              </w:rPr>
            </w:pPr>
            <w:r w:rsidRPr="00E90D40">
              <w:rPr>
                <w:rFonts w:ascii="Verdana" w:eastAsia="Merriweather Sans" w:hAnsi="Verdana" w:cs="Merriweather Sans"/>
                <w:color w:val="FFFFFF"/>
                <w:sz w:val="32"/>
                <w:szCs w:val="32"/>
                <w:lang w:val="es-ES"/>
              </w:rPr>
              <w:t>Fecha</w:t>
            </w:r>
          </w:p>
          <w:p w:rsidR="00E90D40" w:rsidRPr="00E90D40" w:rsidRDefault="00E90D40" w:rsidP="00E90D40">
            <w:pPr>
              <w:widowControl w:val="0"/>
              <w:spacing w:after="0"/>
              <w:jc w:val="both"/>
              <w:rPr>
                <w:rFonts w:ascii="Verdana" w:eastAsia="Merriweather Sans" w:hAnsi="Verdana" w:cs="Merriweather Sans"/>
                <w:color w:val="FFFFFF"/>
                <w:sz w:val="20"/>
                <w:szCs w:val="20"/>
                <w:lang w:val="es-ES"/>
              </w:rPr>
            </w:pPr>
          </w:p>
        </w:tc>
        <w:tc>
          <w:tcPr>
            <w:tcW w:w="6630" w:type="dxa"/>
            <w:tcMar>
              <w:top w:w="283" w:type="dxa"/>
              <w:left w:w="283" w:type="dxa"/>
              <w:bottom w:w="283" w:type="dxa"/>
              <w:right w:w="283" w:type="dxa"/>
            </w:tcMar>
          </w:tcPr>
          <w:p w:rsidR="00E90D40" w:rsidRPr="00E90D40" w:rsidRDefault="00E90D40" w:rsidP="00E90D40">
            <w:pPr>
              <w:widowControl w:val="0"/>
              <w:spacing w:after="0"/>
              <w:rPr>
                <w:rFonts w:ascii="Verdana" w:eastAsia="Merriweather Sans" w:hAnsi="Verdana" w:cs="Merriweather Sans"/>
                <w:color w:val="0A5072"/>
                <w:sz w:val="32"/>
                <w:szCs w:val="32"/>
                <w:lang w:val="es-ES"/>
              </w:rPr>
            </w:pPr>
          </w:p>
          <w:p w:rsidR="00E90D40" w:rsidRPr="00E90D40" w:rsidRDefault="00E90D40" w:rsidP="00E90D40">
            <w:pPr>
              <w:widowControl w:val="0"/>
              <w:spacing w:after="0"/>
              <w:rPr>
                <w:rFonts w:ascii="Verdana" w:eastAsia="Merriweather Sans" w:hAnsi="Verdana" w:cs="Merriweather Sans"/>
                <w:color w:val="0A5072"/>
                <w:sz w:val="32"/>
                <w:szCs w:val="32"/>
                <w:lang w:val="es-ES"/>
              </w:rPr>
            </w:pPr>
            <w:r>
              <w:rPr>
                <w:rFonts w:ascii="Verdana" w:eastAsia="Merriweather Sans" w:hAnsi="Verdana" w:cs="Merriweather Sans"/>
                <w:color w:val="0A5072"/>
                <w:sz w:val="32"/>
                <w:szCs w:val="32"/>
                <w:lang w:val="es-ES"/>
              </w:rPr>
              <w:t>2</w:t>
            </w:r>
            <w:r w:rsidR="004451CB">
              <w:rPr>
                <w:rFonts w:ascii="Verdana" w:eastAsia="Merriweather Sans" w:hAnsi="Verdana" w:cs="Merriweather Sans"/>
                <w:color w:val="0A5072"/>
                <w:sz w:val="32"/>
                <w:szCs w:val="32"/>
                <w:lang w:val="es-ES"/>
              </w:rPr>
              <w:t>0</w:t>
            </w:r>
            <w:r w:rsidRPr="00E90D40">
              <w:rPr>
                <w:rFonts w:ascii="Verdana" w:eastAsia="Merriweather Sans" w:hAnsi="Verdana" w:cs="Merriweather Sans"/>
                <w:color w:val="0A5072"/>
                <w:sz w:val="32"/>
                <w:szCs w:val="32"/>
                <w:lang w:val="es-ES"/>
              </w:rPr>
              <w:t xml:space="preserve"> de </w:t>
            </w:r>
            <w:r>
              <w:rPr>
                <w:rFonts w:ascii="Verdana" w:eastAsia="Merriweather Sans" w:hAnsi="Verdana" w:cs="Merriweather Sans"/>
                <w:color w:val="0A5072"/>
                <w:sz w:val="32"/>
                <w:szCs w:val="32"/>
                <w:lang w:val="es-ES"/>
              </w:rPr>
              <w:t>abril</w:t>
            </w:r>
            <w:r w:rsidRPr="00E90D40">
              <w:rPr>
                <w:rFonts w:ascii="Verdana" w:eastAsia="Merriweather Sans" w:hAnsi="Verdana" w:cs="Merriweather Sans"/>
                <w:color w:val="0A5072"/>
                <w:sz w:val="32"/>
                <w:szCs w:val="32"/>
                <w:lang w:val="es-ES"/>
              </w:rPr>
              <w:t xml:space="preserve"> de 2017</w:t>
            </w:r>
          </w:p>
        </w:tc>
      </w:tr>
      <w:tr w:rsidR="00E90D40" w:rsidRPr="00E90D40" w:rsidTr="0001113A">
        <w:trPr>
          <w:trHeight w:val="780"/>
        </w:trPr>
        <w:tc>
          <w:tcPr>
            <w:tcW w:w="9000" w:type="dxa"/>
            <w:gridSpan w:val="2"/>
            <w:tcMar>
              <w:top w:w="100" w:type="dxa"/>
              <w:left w:w="100" w:type="dxa"/>
              <w:bottom w:w="100" w:type="dxa"/>
              <w:right w:w="100" w:type="dxa"/>
            </w:tcMar>
          </w:tcPr>
          <w:p w:rsidR="00E90D40" w:rsidRDefault="00E90D40" w:rsidP="00E90D40">
            <w:pPr>
              <w:spacing w:after="0"/>
              <w:jc w:val="both"/>
              <w:rPr>
                <w:rFonts w:ascii="Verdana" w:eastAsia="Calibri" w:hAnsi="Verdana" w:cs="Times New Roman"/>
                <w:color w:val="F06B2A"/>
                <w:sz w:val="20"/>
                <w:szCs w:val="20"/>
                <w:lang w:val="es-ES"/>
              </w:rPr>
            </w:pPr>
          </w:p>
          <w:p w:rsidR="00973E35" w:rsidRDefault="00973E35" w:rsidP="00E90D40">
            <w:pPr>
              <w:spacing w:after="0"/>
              <w:jc w:val="both"/>
              <w:rPr>
                <w:rFonts w:ascii="Verdana" w:eastAsia="Calibri" w:hAnsi="Verdana" w:cs="Times New Roman"/>
                <w:color w:val="F06B2A"/>
                <w:sz w:val="20"/>
                <w:szCs w:val="20"/>
                <w:lang w:val="es-ES"/>
              </w:rPr>
            </w:pPr>
          </w:p>
          <w:p w:rsidR="00973E35" w:rsidRPr="00331285" w:rsidRDefault="00331285" w:rsidP="00331285">
            <w:pPr>
              <w:spacing w:after="0"/>
              <w:jc w:val="center"/>
              <w:rPr>
                <w:rFonts w:ascii="Verdana" w:eastAsia="Calibri" w:hAnsi="Verdana" w:cs="Times New Roman"/>
                <w:b/>
                <w:color w:val="0A5072"/>
                <w:sz w:val="48"/>
                <w:szCs w:val="48"/>
                <w:lang w:val="es-ES"/>
              </w:rPr>
            </w:pPr>
            <w:r w:rsidRPr="00331285">
              <w:rPr>
                <w:rFonts w:ascii="Verdana" w:eastAsia="Calibri" w:hAnsi="Verdana" w:cs="Times New Roman"/>
                <w:b/>
                <w:color w:val="0A5072"/>
                <w:sz w:val="48"/>
                <w:szCs w:val="48"/>
                <w:lang w:val="es-ES"/>
              </w:rPr>
              <w:t>RESUMEN EJECUTIVO</w:t>
            </w:r>
          </w:p>
          <w:p w:rsidR="00973E35" w:rsidRPr="00E90D40" w:rsidRDefault="00973E35" w:rsidP="00E90D40">
            <w:pPr>
              <w:spacing w:after="0"/>
              <w:jc w:val="both"/>
              <w:rPr>
                <w:rFonts w:ascii="Verdana" w:eastAsia="Calibri" w:hAnsi="Verdana" w:cs="Times New Roman"/>
                <w:color w:val="F06B2A"/>
                <w:sz w:val="20"/>
                <w:szCs w:val="20"/>
                <w:lang w:val="es-ES"/>
              </w:rPr>
            </w:pPr>
          </w:p>
          <w:p w:rsidR="00E90D40" w:rsidRPr="00E90D40" w:rsidRDefault="00E90D40" w:rsidP="00E90D40">
            <w:pPr>
              <w:spacing w:after="0"/>
              <w:jc w:val="both"/>
              <w:rPr>
                <w:rFonts w:ascii="Verdana" w:eastAsia="Calibri" w:hAnsi="Verdana" w:cs="Times New Roman"/>
                <w:color w:val="F06B2A"/>
                <w:sz w:val="20"/>
                <w:szCs w:val="20"/>
                <w:lang w:val="es-ES"/>
              </w:rPr>
            </w:pPr>
          </w:p>
          <w:p w:rsidR="00E90D40" w:rsidRPr="00E90D40" w:rsidRDefault="009C35F0" w:rsidP="00E90D40">
            <w:pPr>
              <w:spacing w:after="0"/>
              <w:jc w:val="center"/>
              <w:rPr>
                <w:rFonts w:ascii="Verdana" w:eastAsia="Calibri" w:hAnsi="Verdana" w:cs="Times New Roman"/>
                <w:color w:val="F06B2A"/>
                <w:sz w:val="26"/>
                <w:szCs w:val="28"/>
                <w:lang w:val="es-ES"/>
              </w:rPr>
            </w:pPr>
            <w:hyperlink r:id="rId8" w:history="1">
              <w:r w:rsidR="00E90D40" w:rsidRPr="00331285">
                <w:rPr>
                  <w:rFonts w:ascii="Verdana" w:eastAsia="Calibri" w:hAnsi="Verdana" w:cs="Times New Roman"/>
                  <w:color w:val="F06B2A"/>
                  <w:sz w:val="26"/>
                  <w:szCs w:val="28"/>
                  <w:u w:val="single"/>
                  <w:lang w:val="es-ES"/>
                </w:rPr>
                <w:t>http://madridauditamadrid.org</w:t>
              </w:r>
            </w:hyperlink>
          </w:p>
          <w:p w:rsidR="00E90D40" w:rsidRPr="00E90D40" w:rsidRDefault="00E90D40" w:rsidP="00E90D40">
            <w:pPr>
              <w:spacing w:after="0"/>
              <w:jc w:val="both"/>
              <w:rPr>
                <w:rFonts w:ascii="Verdana" w:eastAsia="Calibri" w:hAnsi="Verdana" w:cs="Times New Roman"/>
                <w:color w:val="F06B2A"/>
                <w:sz w:val="20"/>
                <w:szCs w:val="20"/>
                <w:lang w:val="es-ES"/>
              </w:rPr>
            </w:pPr>
          </w:p>
          <w:p w:rsidR="00E90D40" w:rsidRPr="00E90D40" w:rsidRDefault="00E90D40" w:rsidP="00E90D40">
            <w:pPr>
              <w:spacing w:after="0"/>
              <w:jc w:val="both"/>
              <w:rPr>
                <w:rFonts w:ascii="Verdana" w:eastAsia="Calibri" w:hAnsi="Verdana" w:cs="Times New Roman"/>
                <w:color w:val="F06B2A"/>
                <w:sz w:val="20"/>
                <w:szCs w:val="20"/>
                <w:lang w:val="es-ES"/>
              </w:rPr>
            </w:pPr>
          </w:p>
        </w:tc>
      </w:tr>
      <w:tr w:rsidR="00E90D40" w:rsidRPr="00E90D40" w:rsidTr="0001113A">
        <w:trPr>
          <w:trHeight w:val="420"/>
        </w:trPr>
        <w:tc>
          <w:tcPr>
            <w:tcW w:w="9000" w:type="dxa"/>
            <w:gridSpan w:val="2"/>
            <w:shd w:val="clear" w:color="auto" w:fill="62A5AE"/>
            <w:tcMar>
              <w:left w:w="0" w:type="dxa"/>
              <w:right w:w="0" w:type="dxa"/>
            </w:tcMar>
          </w:tcPr>
          <w:p w:rsidR="00E90D40" w:rsidRPr="00E90D40" w:rsidRDefault="00E90D40" w:rsidP="00E90D40">
            <w:pPr>
              <w:spacing w:after="160" w:line="259" w:lineRule="auto"/>
              <w:rPr>
                <w:rFonts w:ascii="Verdana" w:eastAsia="Calibri" w:hAnsi="Verdana" w:cs="Times New Roman"/>
                <w:color w:val="auto"/>
                <w:sz w:val="20"/>
                <w:szCs w:val="20"/>
                <w:lang w:val="es-ES"/>
              </w:rPr>
            </w:pPr>
            <w:r w:rsidRPr="00E90D40">
              <w:rPr>
                <w:rFonts w:ascii="Verdana" w:eastAsia="Calibri" w:hAnsi="Verdana" w:cs="Times New Roman"/>
                <w:noProof/>
                <w:color w:val="auto"/>
                <w:sz w:val="20"/>
                <w:szCs w:val="20"/>
                <w:lang w:val="es-ES" w:eastAsia="es-ES"/>
              </w:rPr>
              <w:drawing>
                <wp:inline distT="114300" distB="114300" distL="114300" distR="114300" wp14:anchorId="754519DD" wp14:editId="76FE240D">
                  <wp:extent cx="5760000" cy="1800000"/>
                  <wp:effectExtent l="0" t="0" r="0" b="0"/>
                  <wp:docPr id="54" name="image08.jpg" descr="madrid_audita_madrid.jpg"/>
                  <wp:cNvGraphicFramePr/>
                  <a:graphic xmlns:a="http://schemas.openxmlformats.org/drawingml/2006/main">
                    <a:graphicData uri="http://schemas.openxmlformats.org/drawingml/2006/picture">
                      <pic:pic xmlns:pic="http://schemas.openxmlformats.org/drawingml/2006/picture">
                        <pic:nvPicPr>
                          <pic:cNvPr id="0" name="image08.jpg" descr="madrid_audita_madrid.jpg"/>
                          <pic:cNvPicPr preferRelativeResize="0"/>
                        </pic:nvPicPr>
                        <pic:blipFill>
                          <a:blip r:embed="rId9"/>
                          <a:srcRect/>
                          <a:stretch>
                            <a:fillRect/>
                          </a:stretch>
                        </pic:blipFill>
                        <pic:spPr>
                          <a:xfrm>
                            <a:off x="0" y="0"/>
                            <a:ext cx="5760000" cy="1800000"/>
                          </a:xfrm>
                          <a:prstGeom prst="rect">
                            <a:avLst/>
                          </a:prstGeom>
                          <a:ln/>
                        </pic:spPr>
                      </pic:pic>
                    </a:graphicData>
                  </a:graphic>
                </wp:inline>
              </w:drawing>
            </w:r>
          </w:p>
        </w:tc>
      </w:tr>
    </w:tbl>
    <w:p w:rsidR="00F20BC7" w:rsidRPr="00331285" w:rsidRDefault="00F20BC7" w:rsidP="00331285">
      <w:pPr>
        <w:pStyle w:val="Ttulo"/>
        <w:spacing w:before="0" w:after="0" w:line="360" w:lineRule="auto"/>
        <w:jc w:val="both"/>
        <w:rPr>
          <w:rFonts w:ascii="Verdana" w:hAnsi="Verdana"/>
          <w:b w:val="0"/>
          <w:sz w:val="18"/>
          <w:szCs w:val="18"/>
          <w:lang w:val="es-ES"/>
        </w:rPr>
      </w:pPr>
    </w:p>
    <w:p w:rsidR="00331285" w:rsidRPr="00331285" w:rsidRDefault="00331285" w:rsidP="00331285">
      <w:pPr>
        <w:pStyle w:val="Textoindependiente"/>
        <w:spacing w:before="0" w:after="0" w:line="360" w:lineRule="auto"/>
        <w:jc w:val="both"/>
        <w:rPr>
          <w:sz w:val="18"/>
          <w:szCs w:val="18"/>
          <w:lang w:val="es-ES"/>
        </w:rPr>
      </w:pPr>
    </w:p>
    <w:p w:rsidR="00331285" w:rsidRPr="00331285" w:rsidRDefault="00933EB7" w:rsidP="00331285">
      <w:pPr>
        <w:pStyle w:val="Textoindependiente"/>
        <w:spacing w:before="0" w:after="0" w:line="360" w:lineRule="auto"/>
        <w:jc w:val="both"/>
        <w:rPr>
          <w:sz w:val="18"/>
          <w:szCs w:val="18"/>
          <w:lang w:val="es-ES"/>
        </w:rPr>
      </w:pPr>
      <w:r w:rsidRPr="004451CB">
        <w:rPr>
          <w:rFonts w:ascii="Verdana" w:eastAsia="Lato" w:hAnsi="Verdana" w:cs="Lato"/>
          <w:color w:val="0A5072"/>
          <w:sz w:val="36"/>
          <w:szCs w:val="36"/>
          <w:lang w:val="es-ES" w:eastAsia="es-ES"/>
        </w:rPr>
        <w:t>Índice de Contenidos</w:t>
      </w:r>
    </w:p>
    <w:p w:rsidR="00331285" w:rsidRDefault="00331285" w:rsidP="00331285">
      <w:pPr>
        <w:pStyle w:val="Textoindependiente"/>
        <w:spacing w:before="0" w:after="0" w:line="360" w:lineRule="auto"/>
        <w:jc w:val="both"/>
        <w:rPr>
          <w:sz w:val="18"/>
          <w:szCs w:val="18"/>
          <w:lang w:val="es-ES"/>
        </w:rPr>
      </w:pPr>
    </w:p>
    <w:p w:rsidR="00D51957" w:rsidRPr="00331285" w:rsidRDefault="00D51957" w:rsidP="00D51957">
      <w:pPr>
        <w:pStyle w:val="Textoindependiente"/>
        <w:tabs>
          <w:tab w:val="left" w:leader="dot" w:pos="9356"/>
        </w:tabs>
        <w:spacing w:before="0" w:after="0" w:line="360" w:lineRule="auto"/>
        <w:jc w:val="both"/>
        <w:rPr>
          <w:sz w:val="18"/>
          <w:szCs w:val="18"/>
          <w:lang w:val="es-ES"/>
        </w:rPr>
      </w:pPr>
      <w:r w:rsidRPr="00D51957">
        <w:rPr>
          <w:rFonts w:ascii="Verdana" w:eastAsia="Calibri" w:hAnsi="Verdana" w:cs="Times New Roman"/>
          <w:color w:val="0A5072"/>
          <w:sz w:val="20"/>
          <w:szCs w:val="20"/>
          <w:lang w:val="es-ES"/>
        </w:rPr>
        <w:t>Introducción</w:t>
      </w:r>
      <w:r>
        <w:rPr>
          <w:rFonts w:ascii="Verdana" w:eastAsia="Calibri" w:hAnsi="Verdana" w:cs="Times New Roman"/>
          <w:color w:val="0A5072"/>
          <w:sz w:val="20"/>
          <w:szCs w:val="20"/>
          <w:lang w:val="es-ES"/>
        </w:rPr>
        <w:tab/>
      </w:r>
      <w:r w:rsidR="00E3795D">
        <w:rPr>
          <w:rFonts w:ascii="Verdana" w:eastAsia="Calibri" w:hAnsi="Verdana" w:cs="Times New Roman"/>
          <w:color w:val="0A5072"/>
          <w:sz w:val="20"/>
          <w:szCs w:val="20"/>
          <w:lang w:val="es-ES"/>
        </w:rPr>
        <w:t>3</w:t>
      </w:r>
    </w:p>
    <w:p w:rsidR="00331285" w:rsidRPr="00331285" w:rsidRDefault="00331285" w:rsidP="00331285">
      <w:pPr>
        <w:pStyle w:val="Textoindependiente"/>
        <w:spacing w:before="0" w:after="0" w:line="360" w:lineRule="auto"/>
        <w:jc w:val="both"/>
        <w:rPr>
          <w:sz w:val="18"/>
          <w:szCs w:val="18"/>
          <w:lang w:val="es-ES"/>
        </w:rPr>
      </w:pPr>
    </w:p>
    <w:p w:rsidR="00331285" w:rsidRDefault="00D51957" w:rsidP="00D51957">
      <w:pPr>
        <w:pStyle w:val="Textoindependiente"/>
        <w:tabs>
          <w:tab w:val="left" w:leader="dot" w:pos="9356"/>
        </w:tabs>
        <w:spacing w:before="0" w:after="0" w:line="360" w:lineRule="auto"/>
        <w:jc w:val="both"/>
        <w:rPr>
          <w:rFonts w:ascii="Verdana" w:eastAsia="Calibri" w:hAnsi="Verdana" w:cs="Times New Roman"/>
          <w:color w:val="0A5072"/>
          <w:sz w:val="20"/>
          <w:szCs w:val="20"/>
          <w:lang w:val="es-ES"/>
        </w:rPr>
      </w:pPr>
      <w:r w:rsidRPr="00D51957">
        <w:rPr>
          <w:rFonts w:ascii="Verdana" w:eastAsia="Calibri" w:hAnsi="Verdana" w:cs="Times New Roman"/>
          <w:color w:val="0A5072"/>
          <w:sz w:val="20"/>
          <w:szCs w:val="20"/>
          <w:lang w:val="es-ES"/>
        </w:rPr>
        <w:t>La privatización de la gestión de los Centros Culturales</w:t>
      </w:r>
      <w:r>
        <w:rPr>
          <w:rFonts w:ascii="Verdana" w:eastAsia="Calibri" w:hAnsi="Verdana" w:cs="Times New Roman"/>
          <w:color w:val="0A5072"/>
          <w:sz w:val="20"/>
          <w:szCs w:val="20"/>
          <w:lang w:val="es-ES"/>
        </w:rPr>
        <w:tab/>
      </w:r>
      <w:r w:rsidR="00E3795D">
        <w:rPr>
          <w:rFonts w:ascii="Verdana" w:eastAsia="Calibri" w:hAnsi="Verdana" w:cs="Times New Roman"/>
          <w:color w:val="0A5072"/>
          <w:sz w:val="20"/>
          <w:szCs w:val="20"/>
          <w:lang w:val="es-ES"/>
        </w:rPr>
        <w:t>3</w:t>
      </w:r>
    </w:p>
    <w:p w:rsidR="00D51957" w:rsidRDefault="00D51957" w:rsidP="00331285">
      <w:pPr>
        <w:pStyle w:val="Textoindependiente"/>
        <w:spacing w:before="0" w:after="0" w:line="360" w:lineRule="auto"/>
        <w:jc w:val="both"/>
        <w:rPr>
          <w:rFonts w:ascii="Verdana" w:eastAsia="Calibri" w:hAnsi="Verdana" w:cs="Times New Roman"/>
          <w:color w:val="0A5072"/>
          <w:sz w:val="20"/>
          <w:szCs w:val="20"/>
          <w:lang w:val="es-ES"/>
        </w:rPr>
      </w:pPr>
    </w:p>
    <w:p w:rsidR="00D51957" w:rsidRDefault="00D51957" w:rsidP="00D51957">
      <w:pPr>
        <w:pStyle w:val="Textoindependiente"/>
        <w:tabs>
          <w:tab w:val="left" w:leader="dot" w:pos="9356"/>
        </w:tabs>
        <w:spacing w:before="0" w:after="0" w:line="360" w:lineRule="auto"/>
        <w:jc w:val="both"/>
        <w:rPr>
          <w:rFonts w:ascii="Verdana" w:hAnsi="Verdana"/>
          <w:color w:val="0A5072"/>
          <w:sz w:val="20"/>
          <w:szCs w:val="20"/>
          <w:lang w:val="es-ES"/>
        </w:rPr>
      </w:pPr>
      <w:r w:rsidRPr="00D51957">
        <w:rPr>
          <w:rFonts w:ascii="Verdana" w:hAnsi="Verdana"/>
          <w:color w:val="0A5072"/>
          <w:sz w:val="20"/>
          <w:szCs w:val="20"/>
          <w:lang w:val="es-ES"/>
        </w:rPr>
        <w:t>Los Presupuestos en los Talleres de Formación en los Centros Culturales de Usera</w:t>
      </w:r>
      <w:r>
        <w:rPr>
          <w:rFonts w:ascii="Verdana" w:hAnsi="Verdana"/>
          <w:color w:val="0A5072"/>
          <w:sz w:val="20"/>
          <w:szCs w:val="20"/>
          <w:lang w:val="es-ES"/>
        </w:rPr>
        <w:tab/>
      </w:r>
      <w:r w:rsidR="00E3795D">
        <w:rPr>
          <w:rFonts w:ascii="Verdana" w:hAnsi="Verdana"/>
          <w:color w:val="0A5072"/>
          <w:sz w:val="20"/>
          <w:szCs w:val="20"/>
          <w:lang w:val="es-ES"/>
        </w:rPr>
        <w:t>4</w:t>
      </w:r>
    </w:p>
    <w:p w:rsidR="00D51957" w:rsidRDefault="00D51957" w:rsidP="00331285">
      <w:pPr>
        <w:pStyle w:val="Textoindependiente"/>
        <w:spacing w:before="0" w:after="0" w:line="360" w:lineRule="auto"/>
        <w:jc w:val="both"/>
        <w:rPr>
          <w:rFonts w:ascii="Verdana" w:hAnsi="Verdana"/>
          <w:color w:val="0A5072"/>
          <w:sz w:val="20"/>
          <w:szCs w:val="20"/>
          <w:lang w:val="es-ES"/>
        </w:rPr>
      </w:pPr>
    </w:p>
    <w:p w:rsidR="00D51957" w:rsidRDefault="00D51957" w:rsidP="00D51957">
      <w:pPr>
        <w:pStyle w:val="Textoindependiente"/>
        <w:tabs>
          <w:tab w:val="left" w:leader="dot" w:pos="9356"/>
        </w:tabs>
        <w:spacing w:before="0" w:after="0" w:line="360" w:lineRule="auto"/>
        <w:jc w:val="both"/>
        <w:rPr>
          <w:rFonts w:ascii="Verdana" w:hAnsi="Verdana"/>
          <w:color w:val="0A5072"/>
          <w:sz w:val="20"/>
          <w:szCs w:val="20"/>
          <w:lang w:val="es-ES"/>
        </w:rPr>
      </w:pPr>
      <w:r w:rsidRPr="00D51957">
        <w:rPr>
          <w:rFonts w:ascii="Verdana" w:hAnsi="Verdana"/>
          <w:color w:val="0A5072"/>
          <w:sz w:val="20"/>
          <w:szCs w:val="20"/>
          <w:lang w:val="es-ES"/>
        </w:rPr>
        <w:t>Pérdida de calidad de los talleres</w:t>
      </w:r>
      <w:r>
        <w:rPr>
          <w:rFonts w:ascii="Verdana" w:hAnsi="Verdana"/>
          <w:color w:val="0A5072"/>
          <w:sz w:val="20"/>
          <w:szCs w:val="20"/>
          <w:lang w:val="es-ES"/>
        </w:rPr>
        <w:tab/>
      </w:r>
      <w:r w:rsidR="00E3795D">
        <w:rPr>
          <w:rFonts w:ascii="Verdana" w:hAnsi="Verdana"/>
          <w:color w:val="0A5072"/>
          <w:sz w:val="20"/>
          <w:szCs w:val="20"/>
          <w:lang w:val="es-ES"/>
        </w:rPr>
        <w:t>5</w:t>
      </w:r>
    </w:p>
    <w:p w:rsidR="00D51957" w:rsidRDefault="00D51957" w:rsidP="00331285">
      <w:pPr>
        <w:pStyle w:val="Textoindependiente"/>
        <w:spacing w:before="0" w:after="0" w:line="360" w:lineRule="auto"/>
        <w:jc w:val="both"/>
        <w:rPr>
          <w:rFonts w:ascii="Verdana" w:hAnsi="Verdana"/>
          <w:color w:val="0A5072"/>
          <w:sz w:val="20"/>
          <w:szCs w:val="20"/>
          <w:lang w:val="es-ES"/>
        </w:rPr>
      </w:pPr>
    </w:p>
    <w:p w:rsidR="00D51957" w:rsidRDefault="00D51957" w:rsidP="00E3795D">
      <w:pPr>
        <w:pStyle w:val="Textoindependiente"/>
        <w:tabs>
          <w:tab w:val="left" w:leader="dot" w:pos="9356"/>
        </w:tabs>
        <w:spacing w:before="0" w:after="0" w:line="360" w:lineRule="auto"/>
        <w:jc w:val="both"/>
        <w:rPr>
          <w:rFonts w:ascii="Verdana" w:hAnsi="Verdana"/>
          <w:color w:val="0A5072"/>
          <w:sz w:val="20"/>
          <w:szCs w:val="20"/>
          <w:lang w:val="es-ES"/>
        </w:rPr>
      </w:pPr>
      <w:r w:rsidRPr="00D51957">
        <w:rPr>
          <w:rFonts w:ascii="Verdana" w:hAnsi="Verdana"/>
          <w:color w:val="0A5072"/>
          <w:sz w:val="20"/>
          <w:szCs w:val="20"/>
          <w:lang w:val="es-ES"/>
        </w:rPr>
        <w:t>Degradación de las condiciones laborales del profesorado</w:t>
      </w:r>
      <w:r w:rsidR="00E3795D">
        <w:rPr>
          <w:rFonts w:ascii="Verdana" w:hAnsi="Verdana"/>
          <w:color w:val="0A5072"/>
          <w:sz w:val="20"/>
          <w:szCs w:val="20"/>
          <w:lang w:val="es-ES"/>
        </w:rPr>
        <w:tab/>
        <w:t>7</w:t>
      </w:r>
    </w:p>
    <w:p w:rsidR="00D51957" w:rsidRDefault="00D51957" w:rsidP="00331285">
      <w:pPr>
        <w:pStyle w:val="Textoindependiente"/>
        <w:spacing w:before="0" w:after="0" w:line="360" w:lineRule="auto"/>
        <w:jc w:val="both"/>
        <w:rPr>
          <w:rFonts w:ascii="Verdana" w:hAnsi="Verdana"/>
          <w:color w:val="0A5072"/>
          <w:sz w:val="20"/>
          <w:szCs w:val="20"/>
          <w:lang w:val="es-ES"/>
        </w:rPr>
      </w:pPr>
    </w:p>
    <w:p w:rsidR="00D51957" w:rsidRDefault="00D51957" w:rsidP="00E3795D">
      <w:pPr>
        <w:pStyle w:val="Textoindependiente"/>
        <w:tabs>
          <w:tab w:val="left" w:leader="dot" w:pos="9356"/>
        </w:tabs>
        <w:spacing w:before="0" w:after="0" w:line="360" w:lineRule="auto"/>
        <w:jc w:val="both"/>
        <w:rPr>
          <w:rFonts w:ascii="Verdana" w:hAnsi="Verdana"/>
          <w:color w:val="0A5072"/>
          <w:sz w:val="20"/>
          <w:szCs w:val="20"/>
          <w:lang w:val="es-ES"/>
        </w:rPr>
      </w:pPr>
      <w:r w:rsidRPr="00D51957">
        <w:rPr>
          <w:rFonts w:ascii="Verdana" w:hAnsi="Verdana"/>
          <w:color w:val="0A5072"/>
          <w:sz w:val="20"/>
          <w:szCs w:val="20"/>
          <w:lang w:val="es-ES"/>
        </w:rPr>
        <w:t>Empresas adjudicatarias: Virensis SA y Aula Intercultural SL</w:t>
      </w:r>
      <w:r w:rsidR="00E3795D">
        <w:rPr>
          <w:rFonts w:ascii="Verdana" w:hAnsi="Verdana"/>
          <w:color w:val="0A5072"/>
          <w:sz w:val="20"/>
          <w:szCs w:val="20"/>
          <w:lang w:val="es-ES"/>
        </w:rPr>
        <w:tab/>
        <w:t>7</w:t>
      </w:r>
    </w:p>
    <w:p w:rsidR="00D51957" w:rsidRDefault="00D51957" w:rsidP="00331285">
      <w:pPr>
        <w:pStyle w:val="Textoindependiente"/>
        <w:spacing w:before="0" w:after="0" w:line="360" w:lineRule="auto"/>
        <w:jc w:val="both"/>
        <w:rPr>
          <w:rFonts w:ascii="Verdana" w:hAnsi="Verdana"/>
          <w:color w:val="0A5072"/>
          <w:sz w:val="20"/>
          <w:szCs w:val="20"/>
          <w:lang w:val="es-ES"/>
        </w:rPr>
      </w:pPr>
    </w:p>
    <w:p w:rsidR="00D51957" w:rsidRPr="00D51957" w:rsidRDefault="00D51957" w:rsidP="00E3795D">
      <w:pPr>
        <w:pStyle w:val="Textoindependiente"/>
        <w:tabs>
          <w:tab w:val="left" w:leader="dot" w:pos="9356"/>
        </w:tabs>
        <w:spacing w:before="0" w:after="0" w:line="360" w:lineRule="auto"/>
        <w:jc w:val="both"/>
        <w:rPr>
          <w:color w:val="0A5072"/>
          <w:sz w:val="20"/>
          <w:szCs w:val="20"/>
          <w:lang w:val="es-ES"/>
        </w:rPr>
      </w:pPr>
      <w:r w:rsidRPr="00D51957">
        <w:rPr>
          <w:rFonts w:ascii="Verdana" w:hAnsi="Verdana"/>
          <w:color w:val="0A5072"/>
          <w:sz w:val="20"/>
          <w:szCs w:val="20"/>
          <w:lang w:val="es-ES"/>
        </w:rPr>
        <w:t>Propuestas a futuro</w:t>
      </w:r>
      <w:r w:rsidR="00E3795D">
        <w:rPr>
          <w:rFonts w:ascii="Verdana" w:hAnsi="Verdana"/>
          <w:color w:val="0A5072"/>
          <w:sz w:val="20"/>
          <w:szCs w:val="20"/>
          <w:lang w:val="es-ES"/>
        </w:rPr>
        <w:tab/>
        <w:t>9</w:t>
      </w: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331285" w:rsidRDefault="00331285" w:rsidP="00331285">
      <w:pPr>
        <w:pStyle w:val="Textoindependiente"/>
        <w:spacing w:before="0" w:after="0" w:line="360" w:lineRule="auto"/>
        <w:jc w:val="both"/>
        <w:rPr>
          <w:sz w:val="18"/>
          <w:szCs w:val="18"/>
          <w:lang w:val="es-ES"/>
        </w:rPr>
      </w:pPr>
    </w:p>
    <w:p w:rsidR="00E3795D" w:rsidRDefault="00E3795D" w:rsidP="00331285">
      <w:pPr>
        <w:pStyle w:val="Textoindependiente"/>
        <w:spacing w:before="0" w:after="0" w:line="360" w:lineRule="auto"/>
        <w:jc w:val="both"/>
        <w:rPr>
          <w:sz w:val="18"/>
          <w:szCs w:val="18"/>
          <w:lang w:val="es-ES"/>
        </w:rPr>
      </w:pPr>
    </w:p>
    <w:p w:rsidR="00F20BC7" w:rsidRPr="00331285" w:rsidRDefault="00331285" w:rsidP="00F20BC7">
      <w:pPr>
        <w:pStyle w:val="Fecha"/>
        <w:spacing w:line="360" w:lineRule="auto"/>
        <w:jc w:val="both"/>
        <w:rPr>
          <w:rFonts w:ascii="Verdana" w:hAnsi="Verdana"/>
          <w:b/>
          <w:color w:val="0A5072"/>
          <w:lang w:val="es-ES"/>
        </w:rPr>
      </w:pPr>
      <w:r w:rsidRPr="00331285">
        <w:rPr>
          <w:rFonts w:ascii="Verdana" w:hAnsi="Verdana"/>
          <w:b/>
          <w:color w:val="0A5072"/>
          <w:lang w:val="es-ES"/>
        </w:rPr>
        <w:t>Introducción</w:t>
      </w:r>
    </w:p>
    <w:p w:rsidR="00F27086"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 xml:space="preserve">El presente resumen ejecutivo sintetiza los principales resultados de la auditoría ciudadana de los </w:t>
      </w:r>
      <w:r w:rsidRPr="00F20BC7">
        <w:rPr>
          <w:rFonts w:ascii="Verdana" w:hAnsi="Verdana"/>
          <w:b/>
          <w:sz w:val="18"/>
          <w:szCs w:val="18"/>
          <w:lang w:val="es-ES"/>
        </w:rPr>
        <w:t>Talleres de Formación en los Centros Culturales de</w:t>
      </w:r>
      <w:r w:rsidR="00F20BC7">
        <w:rPr>
          <w:rFonts w:ascii="Verdana" w:hAnsi="Verdana"/>
          <w:b/>
          <w:sz w:val="18"/>
          <w:szCs w:val="18"/>
          <w:lang w:val="es-ES"/>
        </w:rPr>
        <w:t>l Distrito de</w:t>
      </w:r>
      <w:r w:rsidRPr="00F20BC7">
        <w:rPr>
          <w:rFonts w:ascii="Verdana" w:hAnsi="Verdana"/>
          <w:b/>
          <w:sz w:val="18"/>
          <w:szCs w:val="18"/>
          <w:lang w:val="es-ES"/>
        </w:rPr>
        <w:t xml:space="preserve"> Usera</w:t>
      </w:r>
      <w:r w:rsidRPr="00F20BC7">
        <w:rPr>
          <w:rFonts w:ascii="Verdana" w:hAnsi="Verdana"/>
          <w:sz w:val="18"/>
          <w:szCs w:val="18"/>
          <w:lang w:val="es-ES"/>
        </w:rPr>
        <w:t xml:space="preserve">. En el siguiente enlace se puede acceder al </w:t>
      </w:r>
      <w:r w:rsidRPr="00F20BC7">
        <w:rPr>
          <w:rStyle w:val="EnlacedeInternet"/>
          <w:rFonts w:ascii="Verdana" w:hAnsi="Verdana"/>
          <w:sz w:val="18"/>
          <w:szCs w:val="18"/>
          <w:lang w:val="es-ES"/>
        </w:rPr>
        <w:t>informe completo</w:t>
      </w:r>
      <w:r w:rsidRPr="00F20BC7">
        <w:rPr>
          <w:rFonts w:ascii="Verdana" w:hAnsi="Verdana"/>
          <w:sz w:val="18"/>
          <w:szCs w:val="18"/>
          <w:lang w:val="es-ES"/>
        </w:rPr>
        <w:t>.</w:t>
      </w:r>
    </w:p>
    <w:p w:rsidR="00F20BC7" w:rsidRPr="00F20BC7" w:rsidRDefault="00F20BC7" w:rsidP="00F20BC7">
      <w:pPr>
        <w:pStyle w:val="FirstParagraph"/>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En esta auditoría se ha tratado de analizar los impactos socio-culturales, laborales, económicos y de género en las subcontratas que se han llevado a cabo en el período 201</w:t>
      </w:r>
      <w:r w:rsidR="00F20BC7">
        <w:rPr>
          <w:rFonts w:ascii="Verdana" w:hAnsi="Verdana"/>
          <w:sz w:val="18"/>
          <w:szCs w:val="18"/>
          <w:lang w:val="es-ES"/>
        </w:rPr>
        <w:t>4</w:t>
      </w:r>
      <w:r w:rsidRPr="00F20BC7">
        <w:rPr>
          <w:rFonts w:ascii="Verdana" w:hAnsi="Verdana"/>
          <w:sz w:val="18"/>
          <w:szCs w:val="18"/>
          <w:lang w:val="es-ES"/>
        </w:rPr>
        <w:t>-2016 y que han podido tener un efecto lesivo en la ciudadanía, beneficia</w:t>
      </w:r>
      <w:r w:rsidR="00F20BC7">
        <w:rPr>
          <w:rFonts w:ascii="Verdana" w:hAnsi="Verdana"/>
          <w:sz w:val="18"/>
          <w:szCs w:val="18"/>
          <w:lang w:val="es-ES"/>
        </w:rPr>
        <w:t>n</w:t>
      </w:r>
      <w:r w:rsidRPr="00F20BC7">
        <w:rPr>
          <w:rFonts w:ascii="Verdana" w:hAnsi="Verdana"/>
          <w:sz w:val="18"/>
          <w:szCs w:val="18"/>
          <w:lang w:val="es-ES"/>
        </w:rPr>
        <w:t>do fundamentalmente a las empresas adjudicatarias.</w:t>
      </w:r>
    </w:p>
    <w:p w:rsidR="00F20BC7" w:rsidRPr="00F20BC7" w:rsidRDefault="00F20BC7" w:rsidP="00F20BC7">
      <w:pPr>
        <w:pStyle w:val="Textoindependiente"/>
        <w:spacing w:before="0" w:after="0" w:line="360" w:lineRule="auto"/>
        <w:jc w:val="both"/>
        <w:rPr>
          <w:rFonts w:ascii="Verdana" w:hAnsi="Verdana"/>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bookmarkStart w:id="2" w:name="la-privatización-de-los-centros-cultural"/>
      <w:bookmarkEnd w:id="2"/>
      <w:r w:rsidRPr="00F20BC7">
        <w:rPr>
          <w:rFonts w:ascii="Verdana" w:hAnsi="Verdana"/>
          <w:sz w:val="24"/>
          <w:szCs w:val="24"/>
          <w:lang w:val="es-ES"/>
        </w:rPr>
        <w:t xml:space="preserve">La privatización de </w:t>
      </w:r>
      <w:r w:rsidR="00D51957">
        <w:rPr>
          <w:rFonts w:ascii="Verdana" w:hAnsi="Verdana"/>
          <w:sz w:val="24"/>
          <w:szCs w:val="24"/>
          <w:lang w:val="es-ES"/>
        </w:rPr>
        <w:t xml:space="preserve">la gestión de </w:t>
      </w:r>
      <w:r w:rsidRPr="00F20BC7">
        <w:rPr>
          <w:rFonts w:ascii="Verdana" w:hAnsi="Verdana"/>
          <w:sz w:val="24"/>
          <w:szCs w:val="24"/>
          <w:lang w:val="es-ES"/>
        </w:rPr>
        <w:t>los Centros Culturales</w:t>
      </w:r>
    </w:p>
    <w:p w:rsidR="00F27086"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Los centros culturales se construyeron en Madrid a finales de la década de los 70 con el objetivo de que no existiera ningún barrio sin equipamiento cultural y que todos los vecinos pudieran acceder a ellos de forma fácil. Pretendían poner la cultura al alcance de todos y crear tejido social. Más allá de su oferta cultural, que es importante, la principal misión de estos centros era hacer que los vecinos de un barrio se conociesen y conviviesen en un mundo que tiende a aislar a los individuos.</w:t>
      </w:r>
    </w:p>
    <w:p w:rsidR="00F20BC7" w:rsidRPr="00F20BC7" w:rsidRDefault="00F20BC7" w:rsidP="00F20BC7">
      <w:pPr>
        <w:pStyle w:val="FirstParagraph"/>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En esta primera etapa, había una articulación entre las diversas entidades sociales del barrio y los Centros Culturales. Se daba una colaboración con la Junta Municipal, los colegios y las asociaciones vecinales (AA.VV.). Así, los centros culturales funcionaban casi de manera autogestionada y no se cobraba nada. Se organizaban actividades para niños, actuaciones musicales, teatro, viajes culturales, participación en los Carnavales, en la Semana Cultural, fiestas del barrio... Se organizaban reuniones y charlas sobre problemáticas del barrio, el paro, la droga, etc.</w:t>
      </w:r>
    </w:p>
    <w:p w:rsidR="00F20BC7" w:rsidRPr="00F20BC7" w:rsidRDefault="00F20BC7" w:rsidP="00F20BC7">
      <w:pPr>
        <w:pStyle w:val="Textoindependiente"/>
        <w:spacing w:before="0" w:after="0" w:line="360" w:lineRule="auto"/>
        <w:jc w:val="both"/>
        <w:rPr>
          <w:rFonts w:ascii="Verdana" w:hAnsi="Verdana"/>
          <w:sz w:val="18"/>
          <w:szCs w:val="18"/>
          <w:lang w:val="es-ES"/>
        </w:rPr>
      </w:pPr>
    </w:p>
    <w:p w:rsidR="00F20BC7"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 xml:space="preserve">Con el paso del tiempo, los centros culturales empezaron a profesionalizarse, siendo los técnicos o los funcionarios los encargados de planificar los cursos, al tiempo que se empezaba a cobrar una tasa por los mismos. Y más adelante, con la llegada del PP al gobierno de Madrid en 1988, el Ayuntamiento de Madrid deja de gestionar directamente sus Centros Culturales, y empieza a adjudicar su gestión a empresas privadas, muchas veces ajenas </w:t>
      </w:r>
      <w:r w:rsidR="00F20BC7">
        <w:rPr>
          <w:rFonts w:ascii="Verdana" w:hAnsi="Verdana"/>
          <w:sz w:val="18"/>
          <w:szCs w:val="18"/>
          <w:lang w:val="es-ES"/>
        </w:rPr>
        <w:t>a la Cultura y a sus objetivos.</w:t>
      </w:r>
    </w:p>
    <w:p w:rsidR="00F20BC7"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De esta manera los cursos y talleres de formación dejan paulatinamente de responder a las necesidades de las vecinas y vecinos de Madrid y, como se demuestra en el informe, empiezan a responder a la lógica lucrativa del mercado: cada vez menos cursos, con carácter menos cultural, menos profesores y en peores condiciones laborales.</w:t>
      </w:r>
    </w:p>
    <w:p w:rsidR="00F20BC7" w:rsidRDefault="00F20BC7" w:rsidP="00F20BC7">
      <w:pPr>
        <w:pStyle w:val="Textoindependiente"/>
        <w:spacing w:before="0" w:after="0" w:line="360" w:lineRule="auto"/>
        <w:jc w:val="both"/>
        <w:rPr>
          <w:rFonts w:ascii="Verdana" w:hAnsi="Verdana"/>
          <w:sz w:val="18"/>
          <w:szCs w:val="18"/>
          <w:lang w:val="es-ES"/>
        </w:rPr>
      </w:pPr>
    </w:p>
    <w:p w:rsidR="00F20BC7" w:rsidRDefault="00F20BC7" w:rsidP="00F20BC7">
      <w:pPr>
        <w:pStyle w:val="Textoindependiente"/>
        <w:spacing w:before="0" w:after="0" w:line="360" w:lineRule="auto"/>
        <w:jc w:val="both"/>
        <w:rPr>
          <w:rFonts w:ascii="Verdana" w:hAnsi="Verdana"/>
          <w:sz w:val="18"/>
          <w:szCs w:val="18"/>
          <w:lang w:val="es-ES"/>
        </w:rPr>
      </w:pPr>
    </w:p>
    <w:p w:rsidR="00F20BC7" w:rsidRDefault="00F20BC7" w:rsidP="00F20BC7">
      <w:pPr>
        <w:pStyle w:val="Textoindependiente"/>
        <w:spacing w:before="0" w:after="0" w:line="360" w:lineRule="auto"/>
        <w:jc w:val="both"/>
        <w:rPr>
          <w:rFonts w:ascii="Verdana" w:hAnsi="Verdana"/>
          <w:sz w:val="18"/>
          <w:szCs w:val="18"/>
          <w:lang w:val="es-ES"/>
        </w:rPr>
      </w:pPr>
    </w:p>
    <w:p w:rsidR="00F20BC7" w:rsidRDefault="00F20BC7" w:rsidP="00F20BC7">
      <w:pPr>
        <w:pStyle w:val="Textoindependiente"/>
        <w:spacing w:before="0" w:after="0" w:line="360" w:lineRule="auto"/>
        <w:jc w:val="both"/>
        <w:rPr>
          <w:rFonts w:ascii="Verdana" w:hAnsi="Verdana"/>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bookmarkStart w:id="3" w:name="los-presupuestos-en-los-talleres-de-form"/>
      <w:bookmarkEnd w:id="3"/>
      <w:r w:rsidRPr="00F20BC7">
        <w:rPr>
          <w:rFonts w:ascii="Verdana" w:hAnsi="Verdana"/>
          <w:sz w:val="24"/>
          <w:szCs w:val="24"/>
          <w:lang w:val="es-ES"/>
        </w:rPr>
        <w:t>Los Presupuestos en los Talleres de Formación en los Centros Culturales de Usera</w:t>
      </w:r>
    </w:p>
    <w:p w:rsidR="00F20BC7"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Uno de los primeros hallazgos de la auditoría se refiere a la evolución del presupuesto de los Talleres de Formación de los Centros Culturales de</w:t>
      </w:r>
      <w:r w:rsidR="00F20BC7">
        <w:rPr>
          <w:rFonts w:ascii="Verdana" w:hAnsi="Verdana"/>
          <w:sz w:val="18"/>
          <w:szCs w:val="18"/>
          <w:lang w:val="es-ES"/>
        </w:rPr>
        <w:t>l Distrito de Usera.</w:t>
      </w:r>
    </w:p>
    <w:p w:rsidR="00F20BC7" w:rsidRDefault="00F20BC7" w:rsidP="00F20BC7">
      <w:pPr>
        <w:pStyle w:val="FirstParagraph"/>
        <w:spacing w:before="0" w:after="0" w:line="360" w:lineRule="auto"/>
        <w:jc w:val="both"/>
        <w:rPr>
          <w:rFonts w:ascii="Verdana" w:hAnsi="Verdana"/>
          <w:sz w:val="18"/>
          <w:szCs w:val="18"/>
          <w:lang w:val="es-ES"/>
        </w:rPr>
      </w:pPr>
    </w:p>
    <w:p w:rsidR="00F20BC7"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En el gráfico</w:t>
      </w:r>
      <w:r w:rsidR="00F20BC7">
        <w:rPr>
          <w:rFonts w:ascii="Verdana" w:hAnsi="Verdana"/>
          <w:sz w:val="18"/>
          <w:szCs w:val="18"/>
          <w:lang w:val="es-ES"/>
        </w:rPr>
        <w:t xml:space="preserve"> 1</w:t>
      </w:r>
      <w:r w:rsidRPr="00F20BC7">
        <w:rPr>
          <w:rFonts w:ascii="Verdana" w:hAnsi="Verdana"/>
          <w:sz w:val="18"/>
          <w:szCs w:val="18"/>
          <w:lang w:val="es-ES"/>
        </w:rPr>
        <w:t xml:space="preserve"> se puede ver como en el período 2009-2016 se ha producido un recorte </w:t>
      </w:r>
      <w:r w:rsidR="00F3417B">
        <w:rPr>
          <w:rFonts w:ascii="Verdana" w:hAnsi="Verdana"/>
          <w:sz w:val="18"/>
          <w:szCs w:val="18"/>
          <w:lang w:val="es-ES"/>
        </w:rPr>
        <w:t>en los presupuestos adjudicados</w:t>
      </w:r>
      <w:r w:rsidRPr="00F20BC7">
        <w:rPr>
          <w:rFonts w:ascii="Verdana" w:hAnsi="Verdana"/>
          <w:sz w:val="18"/>
          <w:szCs w:val="18"/>
          <w:lang w:val="es-ES"/>
        </w:rPr>
        <w:t xml:space="preserve"> a los talleres de formación en los Centros Culturales de Usera de 381.904 €, reduciendo el presupues</w:t>
      </w:r>
      <w:r w:rsidR="00F20BC7">
        <w:rPr>
          <w:rFonts w:ascii="Verdana" w:hAnsi="Verdana"/>
          <w:sz w:val="18"/>
          <w:szCs w:val="18"/>
          <w:lang w:val="es-ES"/>
        </w:rPr>
        <w:t>to a menos de la tercera parte.</w:t>
      </w:r>
    </w:p>
    <w:p w:rsidR="007514FA" w:rsidRDefault="007514FA" w:rsidP="00F20BC7">
      <w:pPr>
        <w:pStyle w:val="FirstParagraph"/>
        <w:spacing w:before="0" w:after="0" w:line="360" w:lineRule="auto"/>
        <w:jc w:val="both"/>
        <w:rPr>
          <w:rFonts w:ascii="Verdana" w:hAnsi="Verdana"/>
          <w:sz w:val="18"/>
          <w:szCs w:val="18"/>
          <w:lang w:val="es-ES"/>
        </w:rPr>
      </w:pPr>
    </w:p>
    <w:p w:rsidR="00F27086"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 xml:space="preserve">En </w:t>
      </w:r>
      <w:r w:rsidR="007514FA">
        <w:rPr>
          <w:rFonts w:ascii="Verdana" w:hAnsi="Verdana"/>
          <w:sz w:val="18"/>
          <w:szCs w:val="18"/>
          <w:lang w:val="es-ES"/>
        </w:rPr>
        <w:t xml:space="preserve">el </w:t>
      </w:r>
      <w:r w:rsidR="004451CB">
        <w:rPr>
          <w:rFonts w:ascii="Verdana" w:hAnsi="Verdana"/>
          <w:sz w:val="18"/>
          <w:szCs w:val="18"/>
          <w:lang w:val="es-ES"/>
        </w:rPr>
        <w:t xml:space="preserve">mismo </w:t>
      </w:r>
      <w:r w:rsidR="007514FA">
        <w:rPr>
          <w:rFonts w:ascii="Verdana" w:hAnsi="Verdana"/>
          <w:sz w:val="18"/>
          <w:szCs w:val="18"/>
          <w:lang w:val="es-ES"/>
        </w:rPr>
        <w:t>g</w:t>
      </w:r>
      <w:r w:rsidRPr="00F20BC7">
        <w:rPr>
          <w:rFonts w:ascii="Verdana" w:hAnsi="Verdana"/>
          <w:sz w:val="18"/>
          <w:szCs w:val="18"/>
          <w:lang w:val="es-ES"/>
        </w:rPr>
        <w:t>ráfico</w:t>
      </w:r>
      <w:r w:rsidR="007514FA">
        <w:rPr>
          <w:rFonts w:ascii="Verdana" w:hAnsi="Verdana"/>
          <w:sz w:val="18"/>
          <w:szCs w:val="18"/>
          <w:lang w:val="es-ES"/>
        </w:rPr>
        <w:t xml:space="preserve"> </w:t>
      </w:r>
      <w:r w:rsidRPr="00F20BC7">
        <w:rPr>
          <w:rFonts w:ascii="Verdana" w:hAnsi="Verdana"/>
          <w:sz w:val="18"/>
          <w:szCs w:val="18"/>
          <w:lang w:val="es-ES"/>
        </w:rPr>
        <w:t>puede apreciarse también cómo el per</w:t>
      </w:r>
      <w:r w:rsidR="00F3417B">
        <w:rPr>
          <w:rFonts w:ascii="Verdana" w:hAnsi="Verdana"/>
          <w:sz w:val="18"/>
          <w:szCs w:val="18"/>
          <w:lang w:val="es-ES"/>
        </w:rPr>
        <w:t>í</w:t>
      </w:r>
      <w:r w:rsidRPr="00F20BC7">
        <w:rPr>
          <w:rFonts w:ascii="Verdana" w:hAnsi="Verdana"/>
          <w:sz w:val="18"/>
          <w:szCs w:val="18"/>
          <w:lang w:val="es-ES"/>
        </w:rPr>
        <w:t xml:space="preserve">odo de menor presupuesto de los talleres de formación coincide con el de mayor disminución de la deuda, por lo que se podría afirmar que la </w:t>
      </w:r>
      <w:r w:rsidRPr="00F20BC7">
        <w:rPr>
          <w:rFonts w:ascii="Verdana" w:hAnsi="Verdana"/>
          <w:i/>
          <w:sz w:val="18"/>
          <w:szCs w:val="18"/>
          <w:lang w:val="es-ES"/>
        </w:rPr>
        <w:t>deuda del Ayuntamiento de Madrid se ha pagado a costa de los recortes, entre otros, en los talleres de formación de los Centros Culturales del distrito de Usera</w:t>
      </w:r>
      <w:r w:rsidRPr="00F20BC7">
        <w:rPr>
          <w:rFonts w:ascii="Verdana" w:hAnsi="Verdana"/>
          <w:sz w:val="18"/>
          <w:szCs w:val="18"/>
          <w:lang w:val="es-ES"/>
        </w:rPr>
        <w:t>.</w:t>
      </w:r>
    </w:p>
    <w:p w:rsidR="007514FA" w:rsidRDefault="007514FA" w:rsidP="00F20BC7">
      <w:pPr>
        <w:pStyle w:val="FirstParagraph"/>
        <w:spacing w:before="0" w:after="0" w:line="360" w:lineRule="auto"/>
        <w:jc w:val="both"/>
        <w:rPr>
          <w:rFonts w:ascii="Verdana" w:hAnsi="Verdana"/>
          <w:sz w:val="18"/>
          <w:szCs w:val="18"/>
          <w:lang w:val="es-ES"/>
        </w:rPr>
      </w:pPr>
    </w:p>
    <w:p w:rsidR="00F27086" w:rsidRPr="00F20BC7" w:rsidRDefault="008315C9" w:rsidP="00F20BC7">
      <w:pPr>
        <w:pStyle w:val="Textoindependiente"/>
        <w:spacing w:before="0" w:after="0" w:line="360" w:lineRule="auto"/>
        <w:jc w:val="center"/>
        <w:rPr>
          <w:rFonts w:ascii="Verdana" w:hAnsi="Verdana"/>
          <w:b/>
          <w:sz w:val="16"/>
          <w:szCs w:val="16"/>
          <w:lang w:val="es-ES"/>
        </w:rPr>
      </w:pPr>
      <w:r w:rsidRPr="00F20BC7">
        <w:rPr>
          <w:rStyle w:val="VerbatimChar"/>
          <w:rFonts w:ascii="Verdana" w:hAnsi="Verdana"/>
          <w:b/>
          <w:sz w:val="16"/>
          <w:szCs w:val="16"/>
          <w:lang w:val="es-ES"/>
        </w:rPr>
        <w:t>Gráfico</w:t>
      </w:r>
      <w:r w:rsidR="00F20BC7" w:rsidRPr="00F20BC7">
        <w:rPr>
          <w:rStyle w:val="VerbatimChar"/>
          <w:rFonts w:ascii="Verdana" w:hAnsi="Verdana"/>
          <w:b/>
          <w:sz w:val="16"/>
          <w:szCs w:val="16"/>
          <w:lang w:val="es-ES"/>
        </w:rPr>
        <w:t xml:space="preserve"> </w:t>
      </w:r>
      <w:r w:rsidR="005C541E">
        <w:rPr>
          <w:rStyle w:val="VerbatimChar"/>
          <w:rFonts w:ascii="Verdana" w:hAnsi="Verdana"/>
          <w:b/>
          <w:sz w:val="16"/>
          <w:szCs w:val="16"/>
          <w:lang w:val="es-ES"/>
        </w:rPr>
        <w:t>1</w:t>
      </w:r>
    </w:p>
    <w:p w:rsidR="00F20BC7" w:rsidRDefault="007514FA" w:rsidP="007514FA">
      <w:pPr>
        <w:pStyle w:val="Ttulo1"/>
        <w:spacing w:before="0" w:line="360" w:lineRule="auto"/>
        <w:jc w:val="center"/>
        <w:rPr>
          <w:rFonts w:ascii="Verdana" w:hAnsi="Verdana"/>
          <w:sz w:val="18"/>
          <w:szCs w:val="18"/>
          <w:lang w:val="es-ES"/>
        </w:rPr>
      </w:pPr>
      <w:bookmarkStart w:id="4" w:name="pérdida-de-calidad-de-los-talleres"/>
      <w:bookmarkEnd w:id="4"/>
      <w:r>
        <w:rPr>
          <w:rFonts w:ascii="Verdana" w:hAnsi="Verdana"/>
          <w:noProof/>
          <w:sz w:val="16"/>
          <w:szCs w:val="16"/>
          <w:lang w:val="es-ES" w:eastAsia="es-ES"/>
        </w:rPr>
        <w:drawing>
          <wp:inline distT="0" distB="0" distL="0" distR="0" wp14:anchorId="644A4DBE" wp14:editId="11955917">
            <wp:extent cx="5760000" cy="3240000"/>
            <wp:effectExtent l="0" t="0" r="12700" b="1778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0BC7" w:rsidRPr="00691D50" w:rsidRDefault="00F20BC7" w:rsidP="00691D50">
      <w:pPr>
        <w:pStyle w:val="Ttulo1"/>
        <w:spacing w:before="0"/>
        <w:jc w:val="both"/>
        <w:rPr>
          <w:rFonts w:ascii="Verdana" w:hAnsi="Verdana"/>
          <w:b w:val="0"/>
          <w:sz w:val="14"/>
          <w:szCs w:val="18"/>
          <w:lang w:val="es-ES"/>
        </w:rPr>
      </w:pPr>
    </w:p>
    <w:p w:rsidR="00691D50" w:rsidRPr="00691D50" w:rsidRDefault="00691D50" w:rsidP="00691D50">
      <w:pPr>
        <w:spacing w:after="0" w:line="360" w:lineRule="auto"/>
        <w:jc w:val="both"/>
        <w:rPr>
          <w:rFonts w:ascii="Verdana" w:eastAsia="Calibri" w:hAnsi="Verdana" w:cs="Times New Roman"/>
          <w:color w:val="auto"/>
          <w:sz w:val="14"/>
          <w:szCs w:val="16"/>
          <w:lang w:val="es-ES"/>
        </w:rPr>
      </w:pPr>
      <w:r w:rsidRPr="00691D50">
        <w:rPr>
          <w:rFonts w:ascii="Verdana" w:eastAsia="Calibri" w:hAnsi="Verdana" w:cs="Times New Roman"/>
          <w:color w:val="auto"/>
          <w:sz w:val="14"/>
          <w:szCs w:val="16"/>
          <w:lang w:val="es-ES"/>
        </w:rPr>
        <w:t xml:space="preserve">Fuente: Ayuntamiento de Madrid. Junta Municipal del Distrito de Usera y </w:t>
      </w:r>
      <w:r w:rsidRPr="00691D50">
        <w:rPr>
          <w:rFonts w:ascii="Verdana" w:eastAsia="Calibri" w:hAnsi="Verdana" w:cs="Times New Roman"/>
          <w:color w:val="auto"/>
          <w:sz w:val="14"/>
          <w:szCs w:val="18"/>
          <w:lang w:val="es-ES"/>
        </w:rPr>
        <w:t>Banco de España (según Protocolo de Déficit Excesivo PDE).</w:t>
      </w:r>
    </w:p>
    <w:p w:rsidR="00691D50" w:rsidRPr="00691D50" w:rsidRDefault="00691D50" w:rsidP="00691D50">
      <w:pPr>
        <w:pStyle w:val="Ttulo1"/>
        <w:spacing w:before="0" w:line="360" w:lineRule="auto"/>
        <w:jc w:val="both"/>
        <w:rPr>
          <w:rFonts w:ascii="Verdana" w:hAnsi="Verdana"/>
          <w:b w:val="0"/>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r w:rsidRPr="00F20BC7">
        <w:rPr>
          <w:rFonts w:ascii="Verdana" w:hAnsi="Verdana"/>
          <w:sz w:val="24"/>
          <w:szCs w:val="24"/>
          <w:lang w:val="es-ES"/>
        </w:rPr>
        <w:t>Pérdida de calidad de los talleres</w:t>
      </w:r>
    </w:p>
    <w:p w:rsidR="00F3417B" w:rsidRDefault="00F3417B" w:rsidP="00F20BC7">
      <w:pPr>
        <w:pStyle w:val="FirstParagraph"/>
        <w:spacing w:before="0" w:after="0" w:line="360" w:lineRule="auto"/>
        <w:jc w:val="both"/>
        <w:rPr>
          <w:rFonts w:ascii="Verdana" w:hAnsi="Verdana"/>
          <w:sz w:val="18"/>
          <w:szCs w:val="18"/>
          <w:lang w:val="es-ES"/>
        </w:rPr>
      </w:pPr>
      <w:r>
        <w:rPr>
          <w:rFonts w:ascii="Verdana" w:hAnsi="Verdana"/>
          <w:sz w:val="18"/>
          <w:szCs w:val="18"/>
          <w:lang w:val="es-ES"/>
        </w:rPr>
        <w:t xml:space="preserve">En el período 2010-2015 observamos un descenso en las matriculaciones del 53,22%, 1.818 alumnos menos, </w:t>
      </w:r>
    </w:p>
    <w:p w:rsidR="00F3417B" w:rsidRDefault="00F3417B" w:rsidP="00F20BC7">
      <w:pPr>
        <w:pStyle w:val="FirstParagraph"/>
        <w:spacing w:before="0" w:after="0" w:line="360" w:lineRule="auto"/>
        <w:jc w:val="both"/>
        <w:rPr>
          <w:rFonts w:ascii="Verdana" w:hAnsi="Verdana"/>
          <w:sz w:val="18"/>
          <w:szCs w:val="18"/>
          <w:lang w:val="es-ES"/>
        </w:rPr>
      </w:pPr>
      <w:r>
        <w:rPr>
          <w:rFonts w:ascii="Verdana" w:hAnsi="Verdana"/>
          <w:sz w:val="18"/>
          <w:szCs w:val="18"/>
          <w:lang w:val="es-ES"/>
        </w:rPr>
        <w:t>lo que denota que los talleres cada vez interesan a menos gente.</w:t>
      </w:r>
    </w:p>
    <w:p w:rsidR="00F3417B" w:rsidRDefault="00F3417B" w:rsidP="00F20BC7">
      <w:pPr>
        <w:pStyle w:val="FirstParagraph"/>
        <w:spacing w:before="0" w:after="0" w:line="360" w:lineRule="auto"/>
        <w:jc w:val="both"/>
        <w:rPr>
          <w:rFonts w:ascii="Verdana" w:hAnsi="Verdana"/>
          <w:sz w:val="18"/>
          <w:szCs w:val="18"/>
          <w:lang w:val="es-ES"/>
        </w:rPr>
      </w:pPr>
    </w:p>
    <w:p w:rsidR="00F3417B" w:rsidRDefault="00F3417B" w:rsidP="00F20BC7">
      <w:pPr>
        <w:pStyle w:val="FirstParagraph"/>
        <w:spacing w:before="0" w:after="0" w:line="360" w:lineRule="auto"/>
        <w:jc w:val="both"/>
        <w:rPr>
          <w:rFonts w:ascii="Verdana" w:hAnsi="Verdana"/>
          <w:sz w:val="18"/>
          <w:szCs w:val="18"/>
          <w:lang w:val="es-ES"/>
        </w:rPr>
      </w:pPr>
    </w:p>
    <w:p w:rsidR="00F3417B" w:rsidRDefault="00F3417B" w:rsidP="00F20BC7">
      <w:pPr>
        <w:pStyle w:val="FirstParagraph"/>
        <w:spacing w:before="0" w:after="0" w:line="360" w:lineRule="auto"/>
        <w:jc w:val="both"/>
        <w:rPr>
          <w:rFonts w:ascii="Verdana" w:hAnsi="Verdana"/>
          <w:sz w:val="18"/>
          <w:szCs w:val="18"/>
          <w:lang w:val="es-ES"/>
        </w:rPr>
      </w:pPr>
      <w:r>
        <w:rPr>
          <w:rFonts w:ascii="Verdana" w:hAnsi="Verdana"/>
          <w:sz w:val="18"/>
          <w:szCs w:val="18"/>
          <w:lang w:val="es-ES"/>
        </w:rPr>
        <w:t xml:space="preserve">En relación con el número de horas, se han impartido 10.850 horas menos </w:t>
      </w:r>
      <w:r w:rsidRPr="00F3417B">
        <w:rPr>
          <w:rFonts w:ascii="Verdana" w:hAnsi="Verdana"/>
          <w:sz w:val="18"/>
          <w:szCs w:val="18"/>
          <w:lang w:val="es-ES"/>
        </w:rPr>
        <w:t>lo que se traduce en una disminución del 60,83%</w:t>
      </w:r>
      <w:r>
        <w:rPr>
          <w:rFonts w:ascii="Verdana" w:hAnsi="Verdana"/>
          <w:sz w:val="18"/>
          <w:szCs w:val="18"/>
          <w:lang w:val="es-ES"/>
        </w:rPr>
        <w:t>.</w:t>
      </w:r>
    </w:p>
    <w:p w:rsidR="00491CC1" w:rsidRDefault="00491CC1" w:rsidP="00F20BC7">
      <w:pPr>
        <w:pStyle w:val="FirstParagraph"/>
        <w:spacing w:before="0" w:after="0" w:line="360" w:lineRule="auto"/>
        <w:jc w:val="both"/>
        <w:rPr>
          <w:rFonts w:ascii="Verdana" w:hAnsi="Verdana"/>
          <w:sz w:val="18"/>
          <w:szCs w:val="18"/>
          <w:lang w:val="es-ES"/>
        </w:rPr>
      </w:pPr>
    </w:p>
    <w:p w:rsidR="00491CC1" w:rsidRDefault="00491CC1" w:rsidP="00F20BC7">
      <w:pPr>
        <w:pStyle w:val="FirstParagraph"/>
        <w:spacing w:before="0" w:after="0" w:line="360" w:lineRule="auto"/>
        <w:jc w:val="both"/>
        <w:rPr>
          <w:rFonts w:ascii="Verdana" w:hAnsi="Verdana"/>
          <w:sz w:val="18"/>
          <w:szCs w:val="18"/>
          <w:lang w:val="es-ES"/>
        </w:rPr>
      </w:pPr>
      <w:r w:rsidRPr="00491CC1">
        <w:rPr>
          <w:rFonts w:ascii="Verdana" w:hAnsi="Verdana"/>
          <w:sz w:val="18"/>
          <w:szCs w:val="18"/>
          <w:lang w:val="es-ES"/>
        </w:rPr>
        <w:t>Para los cursos 2014-2015 y 2015-2016 se han programado 4 talleres menos.</w:t>
      </w:r>
    </w:p>
    <w:p w:rsidR="00F3417B" w:rsidRDefault="00F3417B" w:rsidP="00F20BC7">
      <w:pPr>
        <w:pStyle w:val="FirstParagraph"/>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En comparación con otros distritos</w:t>
      </w:r>
      <w:r w:rsidR="00691D50">
        <w:rPr>
          <w:rFonts w:ascii="Verdana" w:hAnsi="Verdana"/>
          <w:sz w:val="18"/>
          <w:szCs w:val="18"/>
          <w:lang w:val="es-ES"/>
        </w:rPr>
        <w:t>,</w:t>
      </w:r>
      <w:r w:rsidRPr="00F20BC7">
        <w:rPr>
          <w:rFonts w:ascii="Verdana" w:hAnsi="Verdana"/>
          <w:sz w:val="18"/>
          <w:szCs w:val="18"/>
          <w:lang w:val="es-ES"/>
        </w:rPr>
        <w:t xml:space="preserve"> Usera ocupa el </w:t>
      </w:r>
      <w:r w:rsidR="007638FD">
        <w:rPr>
          <w:rFonts w:ascii="Verdana" w:hAnsi="Verdana"/>
          <w:sz w:val="18"/>
          <w:szCs w:val="18"/>
          <w:lang w:val="es-ES"/>
        </w:rPr>
        <w:t xml:space="preserve">penúltimo </w:t>
      </w:r>
      <w:r w:rsidRPr="00F20BC7">
        <w:rPr>
          <w:rFonts w:ascii="Verdana" w:hAnsi="Verdana"/>
          <w:sz w:val="18"/>
          <w:szCs w:val="18"/>
          <w:lang w:val="es-ES"/>
        </w:rPr>
        <w:t>puesto</w:t>
      </w:r>
      <w:r w:rsidR="00491CC1">
        <w:rPr>
          <w:rFonts w:ascii="Verdana" w:hAnsi="Verdana"/>
          <w:sz w:val="18"/>
          <w:szCs w:val="18"/>
          <w:lang w:val="es-ES"/>
        </w:rPr>
        <w:t xml:space="preserve"> en relación con el número de cursos/10.000 habitantes</w:t>
      </w:r>
      <w:r w:rsidRPr="00F20BC7">
        <w:rPr>
          <w:rFonts w:ascii="Verdana" w:hAnsi="Verdana"/>
          <w:sz w:val="18"/>
          <w:szCs w:val="18"/>
          <w:lang w:val="es-ES"/>
        </w:rPr>
        <w:t>, tal y como puede apreciarse en el gráfico</w:t>
      </w:r>
      <w:r w:rsidR="00F20BC7">
        <w:rPr>
          <w:rFonts w:ascii="Verdana" w:hAnsi="Verdana"/>
          <w:sz w:val="18"/>
          <w:szCs w:val="18"/>
          <w:lang w:val="es-ES"/>
        </w:rPr>
        <w:t xml:space="preserve"> </w:t>
      </w:r>
      <w:r w:rsidR="005C541E">
        <w:rPr>
          <w:rFonts w:ascii="Verdana" w:hAnsi="Verdana"/>
          <w:sz w:val="18"/>
          <w:szCs w:val="18"/>
          <w:lang w:val="es-ES"/>
        </w:rPr>
        <w:t>2</w:t>
      </w:r>
      <w:r w:rsidR="00691D50">
        <w:rPr>
          <w:rFonts w:ascii="Verdana" w:hAnsi="Verdana"/>
          <w:sz w:val="18"/>
          <w:szCs w:val="18"/>
          <w:lang w:val="es-ES"/>
        </w:rPr>
        <w:t>, lo cual l</w:t>
      </w:r>
      <w:r w:rsidRPr="00F20BC7">
        <w:rPr>
          <w:rFonts w:ascii="Verdana" w:hAnsi="Verdana"/>
          <w:sz w:val="18"/>
          <w:szCs w:val="18"/>
          <w:lang w:val="es-ES"/>
        </w:rPr>
        <w:t>lama bastante la atención al ser uno de los distritos con indicadores socioeconómicos más desfavorables (Tasa de paro registrada, Renta Disponible per cápita, analfabetismo, etc.), y que, por tanto, requeriría mayor inversión en formación.</w:t>
      </w:r>
    </w:p>
    <w:p w:rsidR="00F20BC7" w:rsidRPr="003D3241"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center"/>
        <w:rPr>
          <w:rStyle w:val="VerbatimChar"/>
          <w:rFonts w:ascii="Verdana" w:hAnsi="Verdana"/>
          <w:b/>
          <w:sz w:val="16"/>
          <w:szCs w:val="16"/>
          <w:lang w:val="es-ES"/>
        </w:rPr>
      </w:pPr>
      <w:r w:rsidRPr="00F20BC7">
        <w:rPr>
          <w:rStyle w:val="VerbatimChar"/>
          <w:rFonts w:ascii="Verdana" w:hAnsi="Verdana"/>
          <w:b/>
          <w:sz w:val="16"/>
          <w:szCs w:val="16"/>
          <w:lang w:val="es-ES"/>
        </w:rPr>
        <w:t>Gráfico</w:t>
      </w:r>
      <w:r w:rsidR="00F20BC7" w:rsidRPr="00F20BC7">
        <w:rPr>
          <w:rStyle w:val="VerbatimChar"/>
          <w:rFonts w:ascii="Verdana" w:hAnsi="Verdana"/>
          <w:b/>
          <w:sz w:val="16"/>
          <w:szCs w:val="16"/>
          <w:lang w:val="es-ES"/>
        </w:rPr>
        <w:t xml:space="preserve"> </w:t>
      </w:r>
      <w:r w:rsidR="005C541E">
        <w:rPr>
          <w:rStyle w:val="VerbatimChar"/>
          <w:rFonts w:ascii="Verdana" w:hAnsi="Verdana"/>
          <w:b/>
          <w:sz w:val="16"/>
          <w:szCs w:val="16"/>
          <w:lang w:val="es-ES"/>
        </w:rPr>
        <w:t>2</w:t>
      </w:r>
    </w:p>
    <w:p w:rsidR="00691D50" w:rsidRDefault="003D3241" w:rsidP="00F20BC7">
      <w:pPr>
        <w:pStyle w:val="Textoindependiente"/>
        <w:spacing w:before="0" w:after="0" w:line="360" w:lineRule="auto"/>
        <w:jc w:val="center"/>
        <w:rPr>
          <w:rStyle w:val="VerbatimChar"/>
          <w:rFonts w:ascii="Verdana" w:hAnsi="Verdana"/>
          <w:b/>
          <w:sz w:val="16"/>
          <w:szCs w:val="16"/>
          <w:lang w:val="es-ES"/>
        </w:rPr>
      </w:pPr>
      <w:r w:rsidRPr="004008DB">
        <w:rPr>
          <w:rFonts w:ascii="Verdana" w:hAnsi="Verdana"/>
          <w:b/>
          <w:noProof/>
          <w:color w:val="E36C0A" w:themeColor="accent6" w:themeShade="BF"/>
          <w:sz w:val="16"/>
          <w:szCs w:val="16"/>
          <w:lang w:val="es-ES" w:eastAsia="es-ES"/>
        </w:rPr>
        <w:drawing>
          <wp:inline distT="0" distB="0" distL="0" distR="0" wp14:anchorId="2651B189" wp14:editId="271499A1">
            <wp:extent cx="5580000" cy="4320000"/>
            <wp:effectExtent l="0" t="0" r="1905" b="444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91D50" w:rsidRDefault="00691D50" w:rsidP="009C3496">
      <w:pPr>
        <w:pStyle w:val="Textoindependiente"/>
        <w:spacing w:before="0" w:after="0" w:line="360" w:lineRule="auto"/>
        <w:ind w:firstLine="720"/>
        <w:jc w:val="both"/>
        <w:rPr>
          <w:rStyle w:val="VerbatimChar"/>
          <w:rFonts w:ascii="Verdana" w:hAnsi="Verdana"/>
          <w:b/>
          <w:sz w:val="16"/>
          <w:szCs w:val="16"/>
          <w:lang w:val="es-ES"/>
        </w:rPr>
      </w:pPr>
      <w:r w:rsidRPr="00691D50">
        <w:rPr>
          <w:rFonts w:ascii="Verdana" w:eastAsia="Calibri" w:hAnsi="Verdana" w:cs="Times New Roman"/>
          <w:color w:val="auto"/>
          <w:sz w:val="14"/>
          <w:szCs w:val="16"/>
          <w:lang w:val="es-ES"/>
        </w:rPr>
        <w:t>Fuente: Área de Gobierno de Cultura y Deportes. Servicio de Coordinación Cultural.</w:t>
      </w:r>
    </w:p>
    <w:p w:rsidR="00F20BC7" w:rsidRDefault="00F20BC7" w:rsidP="00691D50">
      <w:pPr>
        <w:pStyle w:val="Textoindependiente"/>
        <w:spacing w:before="0" w:after="0" w:line="360" w:lineRule="auto"/>
        <w:jc w:val="both"/>
        <w:rPr>
          <w:rStyle w:val="VerbatimChar"/>
          <w:rFonts w:ascii="Verdana" w:hAnsi="Verdana"/>
          <w:sz w:val="18"/>
          <w:szCs w:val="18"/>
          <w:lang w:val="es-ES"/>
        </w:rPr>
      </w:pPr>
    </w:p>
    <w:p w:rsidR="000A34D9"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En cuanto al tipo de cursos ofrecidos, se observa que cada vez los cursos responden menos a las necesidades socioculturales del distrito, ofreci</w:t>
      </w:r>
      <w:r w:rsidR="00F20BC7">
        <w:rPr>
          <w:rFonts w:ascii="Verdana" w:hAnsi="Verdana"/>
          <w:sz w:val="18"/>
          <w:szCs w:val="18"/>
          <w:lang w:val="es-ES"/>
        </w:rPr>
        <w:t>é</w:t>
      </w:r>
      <w:r w:rsidRPr="00F20BC7">
        <w:rPr>
          <w:rFonts w:ascii="Verdana" w:hAnsi="Verdana"/>
          <w:sz w:val="18"/>
          <w:szCs w:val="18"/>
          <w:lang w:val="es-ES"/>
        </w:rPr>
        <w:t>ndose principalmente cursos que resultan más rentables para las empresas adjudicatarias por supo</w:t>
      </w:r>
      <w:r w:rsidR="000A34D9">
        <w:rPr>
          <w:rFonts w:ascii="Verdana" w:hAnsi="Verdana"/>
          <w:sz w:val="18"/>
          <w:szCs w:val="18"/>
          <w:lang w:val="es-ES"/>
        </w:rPr>
        <w:t>ner un menor gasto en material.</w:t>
      </w:r>
    </w:p>
    <w:p w:rsidR="000A34D9" w:rsidRDefault="000A34D9" w:rsidP="00F20BC7">
      <w:pPr>
        <w:pStyle w:val="Textoindependiente"/>
        <w:spacing w:before="0" w:after="0" w:line="360" w:lineRule="auto"/>
        <w:jc w:val="both"/>
        <w:rPr>
          <w:rFonts w:ascii="Verdana" w:hAnsi="Verdana"/>
          <w:sz w:val="18"/>
          <w:szCs w:val="18"/>
          <w:lang w:val="es-ES"/>
        </w:rPr>
      </w:pPr>
    </w:p>
    <w:p w:rsidR="00187E8A" w:rsidRDefault="00187E8A" w:rsidP="00F20BC7">
      <w:pPr>
        <w:pStyle w:val="Textoindependiente"/>
        <w:spacing w:before="0" w:after="0" w:line="360" w:lineRule="auto"/>
        <w:jc w:val="both"/>
        <w:rPr>
          <w:rFonts w:ascii="Verdana" w:hAnsi="Verdana"/>
          <w:sz w:val="18"/>
          <w:szCs w:val="18"/>
          <w:lang w:val="es-ES"/>
        </w:rPr>
      </w:pPr>
    </w:p>
    <w:p w:rsidR="00F27086" w:rsidRPr="00F20BC7"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Así, como puede apreciarse en el gráfico</w:t>
      </w:r>
      <w:r w:rsidR="00F20BC7">
        <w:rPr>
          <w:rFonts w:ascii="Verdana" w:hAnsi="Verdana"/>
          <w:sz w:val="18"/>
          <w:szCs w:val="18"/>
          <w:lang w:val="es-ES"/>
        </w:rPr>
        <w:t xml:space="preserve"> </w:t>
      </w:r>
      <w:r w:rsidR="005C541E">
        <w:rPr>
          <w:rFonts w:ascii="Verdana" w:hAnsi="Verdana"/>
          <w:sz w:val="18"/>
          <w:szCs w:val="18"/>
          <w:lang w:val="es-ES"/>
        </w:rPr>
        <w:t>3</w:t>
      </w:r>
      <w:r w:rsidR="00691D50">
        <w:rPr>
          <w:rFonts w:ascii="Verdana" w:hAnsi="Verdana"/>
          <w:sz w:val="18"/>
          <w:szCs w:val="18"/>
          <w:lang w:val="es-ES"/>
        </w:rPr>
        <w:t>,</w:t>
      </w:r>
      <w:r w:rsidRPr="00F20BC7">
        <w:rPr>
          <w:rFonts w:ascii="Verdana" w:hAnsi="Verdana"/>
          <w:sz w:val="18"/>
          <w:szCs w:val="18"/>
          <w:lang w:val="es-ES"/>
        </w:rPr>
        <w:t xml:space="preserve"> se programan prioritariamente cursos del Área “Actividad corporal” que, además de resultar más rentables para la empresa, promocionan menos la formación humanística y profesional de l</w:t>
      </w:r>
      <w:r w:rsidR="00691D50">
        <w:rPr>
          <w:rFonts w:ascii="Verdana" w:hAnsi="Verdana"/>
          <w:sz w:val="18"/>
          <w:szCs w:val="18"/>
          <w:lang w:val="es-ES"/>
        </w:rPr>
        <w:t>a ciudadanía</w:t>
      </w:r>
      <w:r w:rsidRPr="00F20BC7">
        <w:rPr>
          <w:rFonts w:ascii="Verdana" w:hAnsi="Verdana"/>
          <w:sz w:val="18"/>
          <w:szCs w:val="18"/>
          <w:lang w:val="es-ES"/>
        </w:rPr>
        <w:t>.</w:t>
      </w:r>
    </w:p>
    <w:p w:rsidR="00F20BC7" w:rsidRDefault="00F20BC7" w:rsidP="00F20BC7">
      <w:pPr>
        <w:pStyle w:val="Textoindependiente"/>
        <w:spacing w:before="0" w:after="0" w:line="360" w:lineRule="auto"/>
        <w:jc w:val="both"/>
        <w:rPr>
          <w:rStyle w:val="VerbatimChar"/>
          <w:rFonts w:ascii="Verdana" w:hAnsi="Verdana"/>
          <w:sz w:val="18"/>
          <w:szCs w:val="18"/>
          <w:lang w:val="es-ES"/>
        </w:rPr>
      </w:pPr>
    </w:p>
    <w:p w:rsidR="00F27086" w:rsidRDefault="008315C9" w:rsidP="00F20BC7">
      <w:pPr>
        <w:pStyle w:val="Textoindependiente"/>
        <w:spacing w:before="0" w:after="0" w:line="360" w:lineRule="auto"/>
        <w:jc w:val="center"/>
        <w:rPr>
          <w:rStyle w:val="VerbatimChar"/>
          <w:rFonts w:ascii="Verdana" w:hAnsi="Verdana"/>
          <w:b/>
          <w:sz w:val="16"/>
          <w:szCs w:val="16"/>
          <w:lang w:val="es-ES"/>
        </w:rPr>
      </w:pPr>
      <w:r w:rsidRPr="00F20BC7">
        <w:rPr>
          <w:rStyle w:val="VerbatimChar"/>
          <w:rFonts w:ascii="Verdana" w:hAnsi="Verdana"/>
          <w:b/>
          <w:sz w:val="16"/>
          <w:szCs w:val="16"/>
          <w:lang w:val="es-ES"/>
        </w:rPr>
        <w:t>Gráfico</w:t>
      </w:r>
      <w:r w:rsidR="00F20BC7" w:rsidRPr="00F20BC7">
        <w:rPr>
          <w:rStyle w:val="VerbatimChar"/>
          <w:rFonts w:ascii="Verdana" w:hAnsi="Verdana"/>
          <w:b/>
          <w:sz w:val="16"/>
          <w:szCs w:val="16"/>
          <w:lang w:val="es-ES"/>
        </w:rPr>
        <w:t xml:space="preserve"> </w:t>
      </w:r>
      <w:r w:rsidR="005C541E">
        <w:rPr>
          <w:rStyle w:val="VerbatimChar"/>
          <w:rFonts w:ascii="Verdana" w:hAnsi="Verdana"/>
          <w:b/>
          <w:sz w:val="16"/>
          <w:szCs w:val="16"/>
          <w:lang w:val="es-ES"/>
        </w:rPr>
        <w:t>3</w:t>
      </w:r>
    </w:p>
    <w:p w:rsidR="000A34D9" w:rsidRPr="00F20BC7" w:rsidRDefault="000A34D9" w:rsidP="00F20BC7">
      <w:pPr>
        <w:pStyle w:val="Textoindependiente"/>
        <w:spacing w:before="0" w:after="0" w:line="360" w:lineRule="auto"/>
        <w:jc w:val="center"/>
        <w:rPr>
          <w:rFonts w:ascii="Verdana" w:hAnsi="Verdana"/>
          <w:b/>
          <w:sz w:val="16"/>
          <w:szCs w:val="16"/>
          <w:lang w:val="es-ES"/>
        </w:rPr>
      </w:pPr>
      <w:r>
        <w:rPr>
          <w:rFonts w:ascii="Verdana" w:hAnsi="Verdana"/>
          <w:b/>
          <w:noProof/>
          <w:sz w:val="16"/>
          <w:szCs w:val="16"/>
          <w:lang w:val="es-ES" w:eastAsia="es-ES"/>
        </w:rPr>
        <w:drawing>
          <wp:inline distT="0" distB="0" distL="0" distR="0" wp14:anchorId="1D379974" wp14:editId="7906AE49">
            <wp:extent cx="5040000" cy="3240000"/>
            <wp:effectExtent l="0" t="0" r="8255" b="1778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34D9" w:rsidRDefault="000A34D9" w:rsidP="00187E8A">
      <w:pPr>
        <w:pStyle w:val="Textoindependiente"/>
        <w:spacing w:before="0" w:after="0"/>
        <w:ind w:firstLine="720"/>
        <w:jc w:val="both"/>
        <w:rPr>
          <w:rFonts w:ascii="Verdana" w:eastAsia="Calibri" w:hAnsi="Verdana" w:cs="Times New Roman"/>
          <w:color w:val="auto"/>
          <w:sz w:val="14"/>
          <w:szCs w:val="18"/>
          <w:lang w:val="es-ES"/>
        </w:rPr>
      </w:pPr>
      <w:r w:rsidRPr="000A34D9">
        <w:rPr>
          <w:rFonts w:ascii="Verdana" w:eastAsia="Calibri" w:hAnsi="Verdana" w:cs="Times New Roman"/>
          <w:color w:val="auto"/>
          <w:sz w:val="14"/>
          <w:szCs w:val="18"/>
          <w:lang w:val="es-ES"/>
        </w:rPr>
        <w:t>Fuente: Área de Gobierno de Cultura y Deportes. Servicio de Coordinación Cultural.</w:t>
      </w:r>
    </w:p>
    <w:p w:rsidR="000A34D9" w:rsidRPr="00187E8A" w:rsidRDefault="000A34D9" w:rsidP="00187E8A">
      <w:pPr>
        <w:pStyle w:val="Textoindependiente"/>
        <w:spacing w:before="0" w:after="0"/>
        <w:jc w:val="both"/>
        <w:rPr>
          <w:rFonts w:ascii="Verdana" w:hAnsi="Verdana"/>
          <w:sz w:val="16"/>
          <w:szCs w:val="16"/>
          <w:lang w:val="es-ES"/>
        </w:rPr>
      </w:pPr>
    </w:p>
    <w:p w:rsidR="00F20BC7"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Llama también la atención que el número de cursos y talleres en el grupo de “Adquisición de conocimientos”, los más necesarios para el tipo de población del distrito, haya sido de 25, cuando en distritos con indicadores similares se duplican y hasta triplican: tal es el caso de Villaverde con 62 cursos o Puente de Vallecas con 43.</w:t>
      </w:r>
    </w:p>
    <w:p w:rsidR="00F20BC7"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Resulta evidente, a la luz de los indicadores socioeconómicos que son mucho más necesarios los cursos de formación para desempleados, y de integración de los diferentes sectores de población (cursos de español, interculturalidad, etc.). Sin embargo, apenas se ofrece otra cosa que cursos de ocio y tiempo libre.</w:t>
      </w:r>
    </w:p>
    <w:p w:rsidR="00F20BC7"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 xml:space="preserve">En cuanto a los materiales, como </w:t>
      </w:r>
      <w:r w:rsidR="00F20BC7">
        <w:rPr>
          <w:rFonts w:ascii="Verdana" w:hAnsi="Verdana"/>
          <w:sz w:val="18"/>
          <w:szCs w:val="18"/>
          <w:lang w:val="es-ES"/>
        </w:rPr>
        <w:t>establece</w:t>
      </w:r>
      <w:r w:rsidRPr="00F20BC7">
        <w:rPr>
          <w:rFonts w:ascii="Verdana" w:hAnsi="Verdana"/>
          <w:sz w:val="18"/>
          <w:szCs w:val="18"/>
          <w:lang w:val="es-ES"/>
        </w:rPr>
        <w:t xml:space="preserve"> el Pliego de Prescripciones Técnicas, </w:t>
      </w:r>
      <w:r w:rsidRPr="00F20BC7">
        <w:rPr>
          <w:rFonts w:ascii="Verdana" w:hAnsi="Verdana"/>
          <w:i/>
          <w:sz w:val="18"/>
          <w:szCs w:val="18"/>
          <w:lang w:val="es-ES"/>
        </w:rPr>
        <w:t>“La empresa adjudicataria deberá aportar los materiales necesarios tanto fungibles como inventariables para la realización de cada uno de los talleres... En el taller de informática, equipos actualizados...”</w:t>
      </w:r>
      <w:r w:rsidRPr="00F20BC7">
        <w:rPr>
          <w:rFonts w:ascii="Verdana" w:hAnsi="Verdana"/>
          <w:sz w:val="18"/>
          <w:szCs w:val="18"/>
          <w:lang w:val="es-ES"/>
        </w:rPr>
        <w:t xml:space="preserve">, apenas se programan cursos donde es necesaria una mayor inversión en materiales, que serían de mayor utilidad para los alumnos, </w:t>
      </w:r>
      <w:r w:rsidR="00187E8A">
        <w:rPr>
          <w:rFonts w:ascii="Verdana" w:hAnsi="Verdana"/>
          <w:sz w:val="18"/>
          <w:szCs w:val="18"/>
          <w:lang w:val="es-ES"/>
        </w:rPr>
        <w:t>así, para el curso 2015-2016 solamente se programaron:</w:t>
      </w:r>
      <w:r w:rsidRPr="00F20BC7">
        <w:rPr>
          <w:rFonts w:ascii="Verdana" w:hAnsi="Verdana"/>
          <w:sz w:val="18"/>
          <w:szCs w:val="18"/>
          <w:lang w:val="es-ES"/>
        </w:rPr>
        <w:t xml:space="preserve"> </w:t>
      </w:r>
      <w:r w:rsidR="00187E8A">
        <w:rPr>
          <w:rFonts w:ascii="Verdana" w:hAnsi="Verdana"/>
          <w:sz w:val="18"/>
          <w:szCs w:val="18"/>
          <w:lang w:val="es-ES"/>
        </w:rPr>
        <w:t xml:space="preserve">para </w:t>
      </w:r>
      <w:r w:rsidRPr="00F20BC7">
        <w:rPr>
          <w:rFonts w:ascii="Verdana" w:hAnsi="Verdana"/>
          <w:sz w:val="18"/>
          <w:szCs w:val="18"/>
          <w:lang w:val="es-ES"/>
        </w:rPr>
        <w:t>Informática gene</w:t>
      </w:r>
      <w:r w:rsidR="00187E8A">
        <w:rPr>
          <w:rFonts w:ascii="Verdana" w:hAnsi="Verdana"/>
          <w:sz w:val="18"/>
          <w:szCs w:val="18"/>
          <w:lang w:val="es-ES"/>
        </w:rPr>
        <w:t>ral y aplicaciones informáticas 5</w:t>
      </w:r>
      <w:r w:rsidRPr="00F20BC7">
        <w:rPr>
          <w:rFonts w:ascii="Verdana" w:hAnsi="Verdana"/>
          <w:sz w:val="18"/>
          <w:szCs w:val="18"/>
          <w:lang w:val="es-ES"/>
        </w:rPr>
        <w:t xml:space="preserve"> horas semanales, </w:t>
      </w:r>
      <w:r w:rsidR="00187E8A">
        <w:rPr>
          <w:rFonts w:ascii="Verdana" w:hAnsi="Verdana"/>
          <w:sz w:val="18"/>
          <w:szCs w:val="18"/>
          <w:lang w:val="es-ES"/>
        </w:rPr>
        <w:t xml:space="preserve">para artes aplicadas y manualidades </w:t>
      </w:r>
      <w:r w:rsidRPr="00F20BC7">
        <w:rPr>
          <w:rFonts w:ascii="Verdana" w:hAnsi="Verdana"/>
          <w:sz w:val="18"/>
          <w:szCs w:val="18"/>
          <w:lang w:val="es-ES"/>
        </w:rPr>
        <w:t>3</w:t>
      </w:r>
      <w:r w:rsidR="00187E8A">
        <w:rPr>
          <w:rFonts w:ascii="Verdana" w:hAnsi="Verdana"/>
          <w:sz w:val="18"/>
          <w:szCs w:val="18"/>
          <w:lang w:val="es-ES"/>
        </w:rPr>
        <w:t>3</w:t>
      </w:r>
      <w:r w:rsidRPr="00F20BC7">
        <w:rPr>
          <w:rFonts w:ascii="Verdana" w:hAnsi="Verdana"/>
          <w:sz w:val="18"/>
          <w:szCs w:val="18"/>
          <w:lang w:val="es-ES"/>
        </w:rPr>
        <w:t xml:space="preserve"> horas seman</w:t>
      </w:r>
      <w:r w:rsidR="00187E8A">
        <w:rPr>
          <w:rFonts w:ascii="Verdana" w:hAnsi="Verdana"/>
          <w:sz w:val="18"/>
          <w:szCs w:val="18"/>
          <w:lang w:val="es-ES"/>
        </w:rPr>
        <w:t>ales y para artes escénicas y audiovisuales 4</w:t>
      </w:r>
      <w:r w:rsidRPr="00F20BC7">
        <w:rPr>
          <w:rFonts w:ascii="Verdana" w:hAnsi="Verdana"/>
          <w:sz w:val="18"/>
          <w:szCs w:val="18"/>
          <w:lang w:val="es-ES"/>
        </w:rPr>
        <w:t xml:space="preserve"> horas semanales.</w:t>
      </w:r>
    </w:p>
    <w:p w:rsidR="00F20BC7" w:rsidRDefault="00F20BC7" w:rsidP="00F20BC7">
      <w:pPr>
        <w:pStyle w:val="Textoindependiente"/>
        <w:spacing w:before="0" w:after="0" w:line="360" w:lineRule="auto"/>
        <w:jc w:val="both"/>
        <w:rPr>
          <w:rFonts w:ascii="Verdana" w:hAnsi="Verdana"/>
          <w:sz w:val="18"/>
          <w:szCs w:val="18"/>
          <w:lang w:val="es-ES"/>
        </w:rPr>
      </w:pPr>
    </w:p>
    <w:p w:rsidR="00187E8A" w:rsidRDefault="00187E8A" w:rsidP="00F20BC7">
      <w:pPr>
        <w:pStyle w:val="Textoindependiente"/>
        <w:spacing w:before="0" w:after="0" w:line="360" w:lineRule="auto"/>
        <w:jc w:val="both"/>
        <w:rPr>
          <w:rFonts w:ascii="Verdana" w:hAnsi="Verdana"/>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bookmarkStart w:id="5" w:name="degradación-de-las-condiciones-laborales"/>
      <w:bookmarkEnd w:id="5"/>
      <w:r w:rsidRPr="00F20BC7">
        <w:rPr>
          <w:rFonts w:ascii="Verdana" w:hAnsi="Verdana"/>
          <w:sz w:val="24"/>
          <w:szCs w:val="24"/>
          <w:lang w:val="es-ES"/>
        </w:rPr>
        <w:t>Degradación de las condiciones laborales del profesorado</w:t>
      </w:r>
    </w:p>
    <w:p w:rsidR="00925CF1"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La Junta Municipal del Distrito de Usera no ha facilitado datos sobre las condiciones sociolaborales de los profesores: Convenios / Condiciones laborales, salariales</w:t>
      </w:r>
      <w:r w:rsidR="00187E8A">
        <w:rPr>
          <w:rFonts w:ascii="Verdana" w:hAnsi="Verdana"/>
          <w:sz w:val="18"/>
          <w:szCs w:val="18"/>
          <w:lang w:val="es-ES"/>
        </w:rPr>
        <w:t>,</w:t>
      </w:r>
      <w:r w:rsidRPr="00F20BC7">
        <w:rPr>
          <w:rFonts w:ascii="Verdana" w:hAnsi="Verdana"/>
          <w:sz w:val="18"/>
          <w:szCs w:val="18"/>
          <w:lang w:val="es-ES"/>
        </w:rPr>
        <w:t xml:space="preserve"> etc. No obstante, a partir de varias reuniones con los sindicatos y de varias encuestas pasadas a </w:t>
      </w:r>
      <w:r w:rsidR="00925CF1">
        <w:rPr>
          <w:rFonts w:ascii="Verdana" w:hAnsi="Verdana"/>
          <w:sz w:val="18"/>
          <w:szCs w:val="18"/>
          <w:lang w:val="es-ES"/>
        </w:rPr>
        <w:t>las/los trabajadoras/</w:t>
      </w:r>
      <w:r w:rsidRPr="00F20BC7">
        <w:rPr>
          <w:rFonts w:ascii="Verdana" w:hAnsi="Verdana"/>
          <w:sz w:val="18"/>
          <w:szCs w:val="18"/>
          <w:lang w:val="es-ES"/>
        </w:rPr>
        <w:t>es se ha observado</w:t>
      </w:r>
      <w:r w:rsidR="00925CF1">
        <w:rPr>
          <w:rFonts w:ascii="Verdana" w:hAnsi="Verdana"/>
          <w:sz w:val="18"/>
          <w:szCs w:val="18"/>
          <w:lang w:val="es-ES"/>
        </w:rPr>
        <w:t>:</w:t>
      </w:r>
    </w:p>
    <w:p w:rsidR="00925CF1" w:rsidRDefault="00925CF1" w:rsidP="00F20BC7">
      <w:pPr>
        <w:pStyle w:val="FirstParagraph"/>
        <w:spacing w:before="0" w:after="0" w:line="360" w:lineRule="auto"/>
        <w:jc w:val="both"/>
        <w:rPr>
          <w:rFonts w:ascii="Verdana" w:hAnsi="Verdana"/>
          <w:sz w:val="18"/>
          <w:szCs w:val="18"/>
          <w:lang w:val="es-ES"/>
        </w:rPr>
      </w:pPr>
    </w:p>
    <w:p w:rsidR="00925CF1" w:rsidRPr="00925CF1" w:rsidRDefault="00925CF1" w:rsidP="00925CF1">
      <w:pPr>
        <w:numPr>
          <w:ilvl w:val="0"/>
          <w:numId w:val="3"/>
        </w:numPr>
        <w:tabs>
          <w:tab w:val="num" w:pos="1701"/>
        </w:tabs>
        <w:spacing w:after="0" w:line="360" w:lineRule="auto"/>
        <w:contextualSpacing/>
        <w:jc w:val="both"/>
        <w:rPr>
          <w:rFonts w:ascii="Verdana" w:eastAsia="Calibri" w:hAnsi="Verdana" w:cs="Times New Roman"/>
          <w:color w:val="auto"/>
          <w:sz w:val="18"/>
          <w:szCs w:val="18"/>
          <w:lang w:val="es-ES"/>
        </w:rPr>
      </w:pPr>
      <w:r w:rsidRPr="00925CF1">
        <w:rPr>
          <w:rFonts w:ascii="Verdana" w:eastAsia="Calibri" w:hAnsi="Verdana" w:cs="Times New Roman"/>
          <w:color w:val="auto"/>
          <w:sz w:val="18"/>
          <w:szCs w:val="18"/>
          <w:lang w:val="es-ES"/>
        </w:rPr>
        <w:t>L</w:t>
      </w:r>
      <w:r>
        <w:rPr>
          <w:rFonts w:ascii="Verdana" w:eastAsia="Calibri" w:hAnsi="Verdana" w:cs="Times New Roman"/>
          <w:color w:val="auto"/>
          <w:sz w:val="18"/>
          <w:szCs w:val="18"/>
          <w:lang w:val="es-ES"/>
        </w:rPr>
        <w:t>a</w:t>
      </w:r>
      <w:r w:rsidRPr="00925CF1">
        <w:rPr>
          <w:rFonts w:ascii="Verdana" w:eastAsia="Calibri" w:hAnsi="Verdana" w:cs="Times New Roman"/>
          <w:color w:val="auto"/>
          <w:sz w:val="18"/>
          <w:szCs w:val="18"/>
          <w:lang w:val="es-ES"/>
        </w:rPr>
        <w:t>s</w:t>
      </w:r>
      <w:r>
        <w:rPr>
          <w:rFonts w:ascii="Verdana" w:eastAsia="Calibri" w:hAnsi="Verdana" w:cs="Times New Roman"/>
          <w:color w:val="auto"/>
          <w:sz w:val="18"/>
          <w:szCs w:val="18"/>
          <w:lang w:val="es-ES"/>
        </w:rPr>
        <w:t>/os</w:t>
      </w:r>
      <w:r w:rsidRPr="00925CF1">
        <w:rPr>
          <w:rFonts w:ascii="Verdana" w:eastAsia="Calibri" w:hAnsi="Verdana" w:cs="Times New Roman"/>
          <w:color w:val="auto"/>
          <w:sz w:val="18"/>
          <w:szCs w:val="18"/>
          <w:lang w:val="es-ES"/>
        </w:rPr>
        <w:t xml:space="preserve"> trabajador</w:t>
      </w:r>
      <w:r>
        <w:rPr>
          <w:rFonts w:ascii="Verdana" w:eastAsia="Calibri" w:hAnsi="Verdana" w:cs="Times New Roman"/>
          <w:color w:val="auto"/>
          <w:sz w:val="18"/>
          <w:szCs w:val="18"/>
          <w:lang w:val="es-ES"/>
        </w:rPr>
        <w:t>a</w:t>
      </w:r>
      <w:r w:rsidRPr="00925CF1">
        <w:rPr>
          <w:rFonts w:ascii="Verdana" w:eastAsia="Calibri" w:hAnsi="Verdana" w:cs="Times New Roman"/>
          <w:color w:val="auto"/>
          <w:sz w:val="18"/>
          <w:szCs w:val="18"/>
          <w:lang w:val="es-ES"/>
        </w:rPr>
        <w:t>s</w:t>
      </w:r>
      <w:r>
        <w:rPr>
          <w:rFonts w:ascii="Verdana" w:eastAsia="Calibri" w:hAnsi="Verdana" w:cs="Times New Roman"/>
          <w:color w:val="auto"/>
          <w:sz w:val="18"/>
          <w:szCs w:val="18"/>
          <w:lang w:val="es-ES"/>
        </w:rPr>
        <w:t>/es</w:t>
      </w:r>
      <w:r w:rsidRPr="00925CF1">
        <w:rPr>
          <w:rFonts w:ascii="Verdana" w:eastAsia="Calibri" w:hAnsi="Verdana" w:cs="Times New Roman"/>
          <w:color w:val="auto"/>
          <w:sz w:val="18"/>
          <w:szCs w:val="18"/>
          <w:lang w:val="es-ES"/>
        </w:rPr>
        <w:t xml:space="preserve"> tienen carencia de recursos y materiales, para poder impartir con calidad los cursos. El material está viejo y no lo repone la empresa adjudicataria. En ocasiones, los profesores tienen que comprar material, o los mismos alumnos han de cubrir estos gastos para realizar los talleres. De esta manera, la empresa se reserva unos beneficios que en el pliego presupuestan y no gastan.</w:t>
      </w:r>
    </w:p>
    <w:p w:rsidR="00925CF1" w:rsidRPr="00925CF1" w:rsidRDefault="00925CF1" w:rsidP="00925CF1">
      <w:pPr>
        <w:spacing w:after="0" w:line="360" w:lineRule="auto"/>
        <w:jc w:val="both"/>
        <w:rPr>
          <w:rFonts w:ascii="Verdana" w:eastAsia="Calibri" w:hAnsi="Verdana" w:cs="Times New Roman"/>
          <w:color w:val="auto"/>
          <w:sz w:val="18"/>
          <w:szCs w:val="18"/>
          <w:lang w:val="es-ES"/>
        </w:rPr>
      </w:pPr>
    </w:p>
    <w:p w:rsidR="00021B0B" w:rsidRDefault="00925CF1" w:rsidP="00021B0B">
      <w:pPr>
        <w:numPr>
          <w:ilvl w:val="0"/>
          <w:numId w:val="3"/>
        </w:numPr>
        <w:tabs>
          <w:tab w:val="num" w:pos="1701"/>
        </w:tabs>
        <w:spacing w:after="0" w:line="360" w:lineRule="auto"/>
        <w:contextualSpacing/>
        <w:jc w:val="both"/>
        <w:rPr>
          <w:rFonts w:ascii="Verdana" w:eastAsia="Calibri" w:hAnsi="Verdana" w:cs="Times New Roman"/>
          <w:color w:val="auto"/>
          <w:sz w:val="18"/>
          <w:szCs w:val="18"/>
          <w:lang w:val="es-ES"/>
        </w:rPr>
      </w:pPr>
      <w:r w:rsidRPr="00925CF1">
        <w:rPr>
          <w:rFonts w:ascii="Verdana" w:eastAsia="Calibri" w:hAnsi="Verdana" w:cs="Times New Roman"/>
          <w:color w:val="auto"/>
          <w:sz w:val="18"/>
          <w:szCs w:val="18"/>
          <w:lang w:val="es-ES"/>
        </w:rPr>
        <w:t>En cuanto a relaciones laborales: no se cumplen las condiciones del Convenio Colectivo de marco estatal de Ocio Educativo y Animación Sociocultural que rige para los docentes de Centros Culturales en cuanto a:</w:t>
      </w:r>
      <w:r w:rsidR="00021B0B">
        <w:rPr>
          <w:rFonts w:ascii="Verdana" w:eastAsia="Calibri" w:hAnsi="Verdana" w:cs="Times New Roman"/>
          <w:color w:val="auto"/>
          <w:sz w:val="18"/>
          <w:szCs w:val="18"/>
          <w:lang w:val="es-ES"/>
        </w:rPr>
        <w:t xml:space="preserve"> p</w:t>
      </w:r>
      <w:r w:rsidRPr="00925CF1">
        <w:rPr>
          <w:rFonts w:ascii="Verdana" w:eastAsia="Calibri" w:hAnsi="Verdana" w:cs="Times New Roman"/>
          <w:color w:val="auto"/>
          <w:sz w:val="18"/>
          <w:szCs w:val="18"/>
          <w:lang w:val="es-ES"/>
        </w:rPr>
        <w:t>eríodos de prueba, jornada de trabajo, desplazamientos, formación.</w:t>
      </w:r>
    </w:p>
    <w:p w:rsidR="00021B0B" w:rsidRDefault="00021B0B" w:rsidP="00021B0B">
      <w:pPr>
        <w:pStyle w:val="Prrafodelista"/>
        <w:rPr>
          <w:rFonts w:ascii="Verdana" w:eastAsia="Calibri" w:hAnsi="Verdana" w:cs="Times New Roman"/>
          <w:color w:val="auto"/>
          <w:sz w:val="18"/>
          <w:szCs w:val="18"/>
          <w:lang w:val="es-ES"/>
        </w:rPr>
      </w:pPr>
    </w:p>
    <w:p w:rsidR="00925CF1" w:rsidRDefault="00925CF1" w:rsidP="00021B0B">
      <w:pPr>
        <w:numPr>
          <w:ilvl w:val="0"/>
          <w:numId w:val="3"/>
        </w:numPr>
        <w:tabs>
          <w:tab w:val="num" w:pos="1701"/>
        </w:tabs>
        <w:spacing w:after="0" w:line="360" w:lineRule="auto"/>
        <w:contextualSpacing/>
        <w:jc w:val="both"/>
        <w:rPr>
          <w:rFonts w:ascii="Verdana" w:eastAsia="Calibri" w:hAnsi="Verdana" w:cs="Times New Roman"/>
          <w:color w:val="auto"/>
          <w:sz w:val="18"/>
          <w:szCs w:val="18"/>
          <w:lang w:val="es-ES"/>
        </w:rPr>
      </w:pPr>
      <w:r w:rsidRPr="00925CF1">
        <w:rPr>
          <w:rFonts w:ascii="Verdana" w:eastAsia="Calibri" w:hAnsi="Verdana" w:cs="Times New Roman"/>
          <w:color w:val="auto"/>
          <w:sz w:val="18"/>
          <w:szCs w:val="18"/>
          <w:lang w:val="es-ES"/>
        </w:rPr>
        <w:t>Las retribuciones salariales son cada vez más precarias: reducción permanente del salario, retraso en el pago de nóminas, pagas extraordinarias, etc.</w:t>
      </w:r>
    </w:p>
    <w:p w:rsidR="00021B0B" w:rsidRDefault="00021B0B" w:rsidP="00021B0B">
      <w:pPr>
        <w:pStyle w:val="Prrafodelista"/>
        <w:rPr>
          <w:rFonts w:ascii="Verdana" w:eastAsia="Calibri" w:hAnsi="Verdana" w:cs="Times New Roman"/>
          <w:color w:val="auto"/>
          <w:sz w:val="18"/>
          <w:szCs w:val="18"/>
          <w:lang w:val="es-ES"/>
        </w:rPr>
      </w:pPr>
    </w:p>
    <w:p w:rsidR="00021B0B" w:rsidRPr="00925CF1" w:rsidRDefault="00021B0B" w:rsidP="00021B0B">
      <w:pPr>
        <w:numPr>
          <w:ilvl w:val="0"/>
          <w:numId w:val="3"/>
        </w:numPr>
        <w:tabs>
          <w:tab w:val="num" w:pos="1701"/>
        </w:tabs>
        <w:spacing w:after="0" w:line="360" w:lineRule="auto"/>
        <w:contextualSpacing/>
        <w:jc w:val="both"/>
        <w:rPr>
          <w:rFonts w:ascii="Verdana" w:eastAsia="Calibri" w:hAnsi="Verdana" w:cs="Times New Roman"/>
          <w:color w:val="auto"/>
          <w:sz w:val="18"/>
          <w:szCs w:val="18"/>
          <w:lang w:val="es-ES"/>
        </w:rPr>
      </w:pPr>
      <w:r w:rsidRPr="00021B0B">
        <w:rPr>
          <w:rFonts w:ascii="Verdana" w:eastAsia="Calibri" w:hAnsi="Verdana" w:cs="Times New Roman"/>
          <w:color w:val="auto"/>
          <w:sz w:val="18"/>
          <w:szCs w:val="18"/>
          <w:lang w:val="es-ES"/>
        </w:rPr>
        <w:t>No se cumplen las condiciones firmadas en el contrato en relación con la provisión de coordinador y personal administrativo, lo que dificulta aún más la labor del profesorado.</w:t>
      </w:r>
    </w:p>
    <w:p w:rsidR="00925CF1" w:rsidRDefault="00925CF1" w:rsidP="00F20BC7">
      <w:pPr>
        <w:pStyle w:val="FirstParagraph"/>
        <w:spacing w:before="0" w:after="0" w:line="360" w:lineRule="auto"/>
        <w:jc w:val="both"/>
        <w:rPr>
          <w:rFonts w:ascii="Verdana" w:hAnsi="Verdana"/>
          <w:sz w:val="18"/>
          <w:szCs w:val="18"/>
          <w:lang w:val="es-ES"/>
        </w:rPr>
      </w:pPr>
    </w:p>
    <w:p w:rsidR="00021B0B" w:rsidRPr="00021B0B" w:rsidRDefault="00021B0B" w:rsidP="00021B0B">
      <w:pPr>
        <w:spacing w:after="0" w:line="360" w:lineRule="auto"/>
        <w:jc w:val="both"/>
        <w:rPr>
          <w:rFonts w:ascii="Verdana" w:hAnsi="Verdana"/>
          <w:sz w:val="18"/>
          <w:szCs w:val="18"/>
          <w:lang w:val="es-ES"/>
        </w:rPr>
      </w:pPr>
      <w:r w:rsidRPr="00021B0B">
        <w:rPr>
          <w:rFonts w:ascii="Verdana" w:hAnsi="Verdana"/>
          <w:sz w:val="18"/>
          <w:szCs w:val="18"/>
          <w:lang w:val="es-ES"/>
        </w:rPr>
        <w:t>Estas situaciones ante las que no parecen tomarse medidas efectivas han obligado a los profesores de estos Centros a presentar una petición promocionada por Change.org: “No a profesores "Low cost" de Centros Culturales”:</w:t>
      </w:r>
    </w:p>
    <w:p w:rsidR="00021B0B" w:rsidRPr="00021B0B" w:rsidRDefault="00021B0B" w:rsidP="00021B0B">
      <w:pPr>
        <w:spacing w:after="0" w:line="360" w:lineRule="auto"/>
        <w:ind w:left="1134"/>
        <w:jc w:val="both"/>
        <w:rPr>
          <w:rFonts w:ascii="Verdana" w:hAnsi="Verdana"/>
          <w:sz w:val="18"/>
          <w:szCs w:val="18"/>
          <w:lang w:val="es-ES"/>
        </w:rPr>
      </w:pPr>
    </w:p>
    <w:p w:rsidR="00021B0B" w:rsidRPr="004674D4" w:rsidRDefault="00021B0B" w:rsidP="00021B0B">
      <w:pPr>
        <w:spacing w:after="0" w:line="360" w:lineRule="auto"/>
        <w:jc w:val="both"/>
        <w:rPr>
          <w:rFonts w:ascii="Verdana" w:hAnsi="Verdana"/>
          <w:sz w:val="18"/>
          <w:szCs w:val="18"/>
          <w:lang w:val="es-ES"/>
        </w:rPr>
      </w:pPr>
      <w:r w:rsidRPr="00021B0B">
        <w:rPr>
          <w:rFonts w:ascii="Verdana" w:hAnsi="Verdana"/>
          <w:sz w:val="18"/>
          <w:szCs w:val="18"/>
          <w:lang w:val="es-ES"/>
        </w:rPr>
        <w:t xml:space="preserve">“Desde hace años los profesores de talleres en Centros culturales, licenciados y titulados, estamos cobrando un sueldo que no llega ni a 7€/hora a veces menos de 6€/hora. Lo que aumenta la desmotivación del profesorado y baje el nivel y la calidad de los centros públicos. Deberían ser los ayuntamientos los que se ocuparan de los centros culturales públicos de las ciudades y no empresas privadas subcontratadas." </w:t>
      </w:r>
      <w:r w:rsidRPr="004674D4">
        <w:rPr>
          <w:rFonts w:ascii="Verdana" w:hAnsi="Verdana"/>
          <w:sz w:val="18"/>
          <w:szCs w:val="18"/>
          <w:lang w:val="es-ES"/>
        </w:rPr>
        <w:t>(Petición dirigida al Ayuntamiento de Madrid (noviembre de 2016).</w:t>
      </w:r>
    </w:p>
    <w:p w:rsidR="00925CF1" w:rsidRDefault="00925CF1" w:rsidP="00021B0B">
      <w:pPr>
        <w:pStyle w:val="FirstParagraph"/>
        <w:spacing w:before="0" w:after="0" w:line="360" w:lineRule="auto"/>
        <w:jc w:val="both"/>
        <w:rPr>
          <w:rFonts w:ascii="Verdana" w:hAnsi="Verdana"/>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bookmarkStart w:id="6" w:name="empresas-adjudicatarias-virensis-sa-y-au"/>
      <w:bookmarkEnd w:id="6"/>
      <w:r w:rsidRPr="00F20BC7">
        <w:rPr>
          <w:rFonts w:ascii="Verdana" w:hAnsi="Verdana"/>
          <w:sz w:val="24"/>
          <w:szCs w:val="24"/>
          <w:lang w:val="es-ES"/>
        </w:rPr>
        <w:t>Empresas adjudicatarias: Virensis SA y Aula Intercultural SL</w:t>
      </w:r>
    </w:p>
    <w:p w:rsidR="009126FD" w:rsidRDefault="009126FD" w:rsidP="009126FD">
      <w:pPr>
        <w:pStyle w:val="FirstParagraph"/>
        <w:spacing w:before="0" w:after="0" w:line="360" w:lineRule="auto"/>
        <w:jc w:val="both"/>
        <w:rPr>
          <w:rFonts w:ascii="Verdana" w:hAnsi="Verdana"/>
          <w:sz w:val="18"/>
          <w:szCs w:val="18"/>
          <w:lang w:val="es-ES"/>
        </w:rPr>
      </w:pPr>
      <w:r w:rsidRPr="009126FD">
        <w:rPr>
          <w:rFonts w:ascii="Verdana" w:hAnsi="Verdana"/>
          <w:sz w:val="18"/>
          <w:szCs w:val="18"/>
          <w:lang w:val="es-ES"/>
        </w:rPr>
        <w:t>Las empresas adjudicatarias de los cursos 2014-2015 y 2015-2016 han sido Virensis SA y Aula Intercultural SL respectivamente.</w:t>
      </w:r>
    </w:p>
    <w:p w:rsidR="009126FD" w:rsidRDefault="009126FD" w:rsidP="009126FD">
      <w:pPr>
        <w:pStyle w:val="FirstParagraph"/>
        <w:spacing w:before="0" w:after="0" w:line="360" w:lineRule="auto"/>
        <w:jc w:val="both"/>
        <w:rPr>
          <w:rFonts w:ascii="Verdana" w:hAnsi="Verdana"/>
          <w:sz w:val="18"/>
          <w:szCs w:val="18"/>
          <w:lang w:val="es-ES"/>
        </w:rPr>
      </w:pPr>
    </w:p>
    <w:p w:rsidR="00F27086" w:rsidRDefault="008315C9" w:rsidP="009126FD">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 xml:space="preserve">En el concurso de licitación correspondiente a los Talleres de Formación en los Centros Culturales de Usera en el curso 2015-2016 se presentaron cinco ofertas que aparecen desglosadas en la </w:t>
      </w:r>
      <w:r w:rsidR="00F20BC7">
        <w:rPr>
          <w:rFonts w:ascii="Verdana" w:hAnsi="Verdana"/>
          <w:sz w:val="18"/>
          <w:szCs w:val="18"/>
          <w:lang w:val="es-ES"/>
        </w:rPr>
        <w:t>t</w:t>
      </w:r>
      <w:r w:rsidRPr="00F20BC7">
        <w:rPr>
          <w:rFonts w:ascii="Verdana" w:hAnsi="Verdana"/>
          <w:sz w:val="18"/>
          <w:szCs w:val="18"/>
          <w:lang w:val="es-ES"/>
        </w:rPr>
        <w:t>abla</w:t>
      </w:r>
      <w:r w:rsidR="00F20BC7">
        <w:rPr>
          <w:rFonts w:ascii="Verdana" w:hAnsi="Verdana"/>
          <w:sz w:val="18"/>
          <w:szCs w:val="18"/>
          <w:lang w:val="es-ES"/>
        </w:rPr>
        <w:t xml:space="preserve"> 1</w:t>
      </w:r>
      <w:r w:rsidRPr="00F20BC7">
        <w:rPr>
          <w:rFonts w:ascii="Verdana" w:hAnsi="Verdana"/>
          <w:sz w:val="18"/>
          <w:szCs w:val="18"/>
          <w:lang w:val="es-ES"/>
        </w:rPr>
        <w:t>.</w:t>
      </w:r>
    </w:p>
    <w:p w:rsidR="00F20BC7" w:rsidRPr="009126FD" w:rsidRDefault="00F20BC7" w:rsidP="00F20BC7">
      <w:pPr>
        <w:pStyle w:val="Textoindependiente"/>
        <w:spacing w:before="0" w:after="0" w:line="360" w:lineRule="auto"/>
        <w:jc w:val="both"/>
        <w:rPr>
          <w:rFonts w:ascii="Verdana" w:hAnsi="Verdana"/>
          <w:sz w:val="18"/>
          <w:szCs w:val="18"/>
          <w:lang w:val="es-ES"/>
        </w:rPr>
      </w:pPr>
    </w:p>
    <w:p w:rsidR="009126FD" w:rsidRPr="009126FD" w:rsidRDefault="009126FD" w:rsidP="00F20BC7">
      <w:pPr>
        <w:pStyle w:val="Textoindependiente"/>
        <w:spacing w:before="0" w:after="0" w:line="360" w:lineRule="auto"/>
        <w:jc w:val="both"/>
        <w:rPr>
          <w:rFonts w:ascii="Verdana" w:hAnsi="Verdana"/>
          <w:sz w:val="18"/>
          <w:szCs w:val="18"/>
          <w:lang w:val="es-ES"/>
        </w:rPr>
      </w:pPr>
    </w:p>
    <w:p w:rsidR="00F20BC7" w:rsidRDefault="00F20BC7" w:rsidP="00F20BC7">
      <w:pPr>
        <w:pStyle w:val="Textoindependiente"/>
        <w:spacing w:before="0" w:after="0" w:line="360" w:lineRule="auto"/>
        <w:jc w:val="center"/>
        <w:rPr>
          <w:rFonts w:ascii="Verdana" w:hAnsi="Verdana"/>
          <w:b/>
          <w:sz w:val="16"/>
          <w:szCs w:val="16"/>
          <w:lang w:val="es-ES"/>
        </w:rPr>
      </w:pPr>
      <w:r w:rsidRPr="00F20BC7">
        <w:rPr>
          <w:rFonts w:ascii="Verdana" w:hAnsi="Verdana"/>
          <w:b/>
          <w:sz w:val="16"/>
          <w:szCs w:val="16"/>
          <w:lang w:val="es-ES"/>
        </w:rPr>
        <w:t>Tabla 1</w:t>
      </w:r>
    </w:p>
    <w:tbl>
      <w:tblPr>
        <w:tblStyle w:val="Tablaconcuadrcula"/>
        <w:tblW w:w="10487" w:type="dxa"/>
        <w:jc w:val="center"/>
        <w:tblLook w:val="04A0" w:firstRow="1" w:lastRow="0" w:firstColumn="1" w:lastColumn="0" w:noHBand="0" w:noVBand="1"/>
      </w:tblPr>
      <w:tblGrid>
        <w:gridCol w:w="3402"/>
        <w:gridCol w:w="1417"/>
        <w:gridCol w:w="1417"/>
        <w:gridCol w:w="1417"/>
        <w:gridCol w:w="1417"/>
        <w:gridCol w:w="1417"/>
      </w:tblGrid>
      <w:tr w:rsidR="0012114C" w:rsidTr="009B173F">
        <w:trPr>
          <w:trHeight w:val="454"/>
          <w:jc w:val="center"/>
        </w:trPr>
        <w:tc>
          <w:tcPr>
            <w:tcW w:w="3402" w:type="dxa"/>
            <w:shd w:val="clear" w:color="auto" w:fill="0A5072"/>
            <w:vAlign w:val="center"/>
          </w:tcPr>
          <w:p w:rsidR="00E37DCC" w:rsidRPr="00C443C9" w:rsidRDefault="00E37DCC" w:rsidP="00C443C9">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Ofertas</w:t>
            </w:r>
          </w:p>
        </w:tc>
        <w:tc>
          <w:tcPr>
            <w:tcW w:w="1417" w:type="dxa"/>
            <w:shd w:val="clear" w:color="auto" w:fill="0A5072"/>
            <w:vAlign w:val="center"/>
          </w:tcPr>
          <w:p w:rsidR="0012114C" w:rsidRDefault="00E37DCC" w:rsidP="00C443C9">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Importe</w:t>
            </w:r>
          </w:p>
          <w:p w:rsidR="00E37DCC" w:rsidRPr="00C443C9" w:rsidRDefault="00E37DCC" w:rsidP="00C443C9">
            <w:pPr>
              <w:pStyle w:val="Compact"/>
              <w:spacing w:before="0" w:after="0"/>
              <w:jc w:val="center"/>
              <w:rPr>
                <w:rFonts w:ascii="Verdana" w:hAnsi="Verdana"/>
                <w:b/>
                <w:color w:val="FFFFFF" w:themeColor="background1"/>
                <w:sz w:val="16"/>
                <w:szCs w:val="16"/>
              </w:rPr>
            </w:pPr>
            <w:r w:rsidRPr="0012114C">
              <w:rPr>
                <w:rFonts w:ascii="Verdana" w:hAnsi="Verdana"/>
                <w:color w:val="FFFFFF" w:themeColor="background1"/>
                <w:sz w:val="14"/>
                <w:szCs w:val="16"/>
              </w:rPr>
              <w:t>(1)</w:t>
            </w:r>
          </w:p>
        </w:tc>
        <w:tc>
          <w:tcPr>
            <w:tcW w:w="1417" w:type="dxa"/>
            <w:shd w:val="clear" w:color="auto" w:fill="0A5072"/>
            <w:vAlign w:val="center"/>
          </w:tcPr>
          <w:p w:rsidR="00E37DCC" w:rsidRPr="00C443C9" w:rsidRDefault="00E37DCC" w:rsidP="00C443C9">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Horas lectivas</w:t>
            </w:r>
          </w:p>
        </w:tc>
        <w:tc>
          <w:tcPr>
            <w:tcW w:w="1417" w:type="dxa"/>
            <w:shd w:val="clear" w:color="auto" w:fill="0A5072"/>
            <w:vAlign w:val="center"/>
          </w:tcPr>
          <w:p w:rsidR="00E37DCC" w:rsidRPr="00C443C9" w:rsidRDefault="00E37DCC" w:rsidP="00C443C9">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Horas extras talleres</w:t>
            </w:r>
          </w:p>
        </w:tc>
        <w:tc>
          <w:tcPr>
            <w:tcW w:w="1417" w:type="dxa"/>
            <w:shd w:val="clear" w:color="auto" w:fill="0A5072"/>
            <w:vAlign w:val="center"/>
          </w:tcPr>
          <w:p w:rsidR="00E37DCC" w:rsidRPr="00C443C9" w:rsidRDefault="00E37DCC" w:rsidP="00C443C9">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 xml:space="preserve">Horas totales </w:t>
            </w:r>
            <w:r w:rsidRPr="00C443C9">
              <w:rPr>
                <w:rFonts w:ascii="Verdana" w:hAnsi="Verdana"/>
                <w:color w:val="FFFFFF" w:themeColor="background1"/>
                <w:sz w:val="14"/>
                <w:szCs w:val="16"/>
              </w:rPr>
              <w:t>(2)</w:t>
            </w:r>
          </w:p>
        </w:tc>
        <w:tc>
          <w:tcPr>
            <w:tcW w:w="1417" w:type="dxa"/>
            <w:shd w:val="clear" w:color="auto" w:fill="0A5072"/>
            <w:vAlign w:val="center"/>
          </w:tcPr>
          <w:p w:rsidR="009B173F" w:rsidRPr="009B173F" w:rsidRDefault="00E37DCC" w:rsidP="009B173F">
            <w:pPr>
              <w:pStyle w:val="Compact"/>
              <w:spacing w:before="0" w:after="0"/>
              <w:jc w:val="center"/>
              <w:rPr>
                <w:rFonts w:ascii="Verdana" w:hAnsi="Verdana"/>
                <w:b/>
                <w:color w:val="FFFFFF" w:themeColor="background1"/>
                <w:sz w:val="16"/>
                <w:szCs w:val="16"/>
              </w:rPr>
            </w:pPr>
            <w:r w:rsidRPr="00C443C9">
              <w:rPr>
                <w:rFonts w:ascii="Verdana" w:hAnsi="Verdana"/>
                <w:b/>
                <w:color w:val="FFFFFF" w:themeColor="background1"/>
                <w:sz w:val="16"/>
                <w:szCs w:val="16"/>
              </w:rPr>
              <w:t>Coste/hora</w:t>
            </w:r>
            <w:r w:rsidR="009B173F">
              <w:rPr>
                <w:rFonts w:ascii="Verdana" w:hAnsi="Verdana"/>
                <w:b/>
                <w:color w:val="FFFFFF" w:themeColor="background1"/>
                <w:sz w:val="16"/>
                <w:szCs w:val="16"/>
              </w:rPr>
              <w:t xml:space="preserve"> </w:t>
            </w:r>
            <w:r w:rsidR="009B173F" w:rsidRPr="009B173F">
              <w:rPr>
                <w:rFonts w:ascii="Verdana" w:hAnsi="Verdana"/>
                <w:color w:val="FFFFFF" w:themeColor="background1"/>
                <w:sz w:val="14"/>
                <w:szCs w:val="16"/>
              </w:rPr>
              <w:t>(1) / (2)</w:t>
            </w:r>
          </w:p>
        </w:tc>
      </w:tr>
      <w:tr w:rsidR="00C443C9" w:rsidTr="009B173F">
        <w:trPr>
          <w:trHeight w:val="397"/>
          <w:jc w:val="center"/>
        </w:trPr>
        <w:tc>
          <w:tcPr>
            <w:tcW w:w="3402" w:type="dxa"/>
            <w:tcBorders>
              <w:top w:val="single" w:sz="6" w:space="0" w:color="000001"/>
              <w:bottom w:val="single" w:sz="6" w:space="0" w:color="000001"/>
            </w:tcBorders>
            <w:shd w:val="clear" w:color="auto" w:fill="auto"/>
            <w:vAlign w:val="center"/>
          </w:tcPr>
          <w:p w:rsidR="00C443C9" w:rsidRPr="0012114C" w:rsidRDefault="00C443C9" w:rsidP="00C443C9">
            <w:pPr>
              <w:pStyle w:val="Compact"/>
              <w:spacing w:before="0" w:after="0"/>
              <w:rPr>
                <w:rFonts w:ascii="Verdana" w:hAnsi="Verdana"/>
                <w:b/>
                <w:sz w:val="16"/>
                <w:szCs w:val="16"/>
                <w:lang w:val="es-ES"/>
              </w:rPr>
            </w:pPr>
            <w:r w:rsidRPr="0012114C">
              <w:rPr>
                <w:rFonts w:ascii="Verdana" w:hAnsi="Verdana"/>
                <w:b/>
                <w:sz w:val="16"/>
                <w:szCs w:val="16"/>
                <w:lang w:val="es-ES"/>
              </w:rPr>
              <w:t>G.E. Escuelas Urbanas SL</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176.079,20</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24,20</w:t>
            </w:r>
          </w:p>
        </w:tc>
      </w:tr>
      <w:tr w:rsidR="00C443C9" w:rsidTr="009B173F">
        <w:trPr>
          <w:trHeight w:val="397"/>
          <w:jc w:val="center"/>
        </w:trPr>
        <w:tc>
          <w:tcPr>
            <w:tcW w:w="3402" w:type="dxa"/>
            <w:tcBorders>
              <w:top w:val="single" w:sz="6" w:space="0" w:color="000001"/>
              <w:bottom w:val="single" w:sz="6" w:space="0" w:color="000001"/>
            </w:tcBorders>
            <w:shd w:val="clear" w:color="auto" w:fill="auto"/>
            <w:vAlign w:val="center"/>
          </w:tcPr>
          <w:p w:rsidR="00C443C9" w:rsidRPr="0012114C" w:rsidRDefault="00C443C9" w:rsidP="00C443C9">
            <w:pPr>
              <w:pStyle w:val="Compact"/>
              <w:spacing w:before="0" w:after="0"/>
              <w:rPr>
                <w:rFonts w:ascii="Verdana" w:hAnsi="Verdana"/>
                <w:b/>
                <w:sz w:val="16"/>
                <w:szCs w:val="16"/>
              </w:rPr>
            </w:pPr>
            <w:r w:rsidRPr="0012114C">
              <w:rPr>
                <w:rFonts w:ascii="Verdana" w:hAnsi="Verdana"/>
                <w:b/>
                <w:sz w:val="16"/>
                <w:szCs w:val="16"/>
              </w:rPr>
              <w:t>Tritoma SL</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192.454,57</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1.819</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9.095</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21,16</w:t>
            </w:r>
          </w:p>
        </w:tc>
      </w:tr>
      <w:tr w:rsidR="00C443C9" w:rsidTr="009B173F">
        <w:trPr>
          <w:trHeight w:val="397"/>
          <w:jc w:val="center"/>
        </w:trPr>
        <w:tc>
          <w:tcPr>
            <w:tcW w:w="3402" w:type="dxa"/>
            <w:tcBorders>
              <w:top w:val="single" w:sz="6" w:space="0" w:color="000001"/>
              <w:bottom w:val="single" w:sz="6" w:space="0" w:color="000001"/>
            </w:tcBorders>
            <w:shd w:val="clear" w:color="auto" w:fill="auto"/>
            <w:vAlign w:val="center"/>
          </w:tcPr>
          <w:p w:rsidR="00C443C9" w:rsidRPr="0012114C" w:rsidRDefault="00C443C9" w:rsidP="00C443C9">
            <w:pPr>
              <w:pStyle w:val="Compact"/>
              <w:spacing w:before="0" w:after="0"/>
              <w:rPr>
                <w:rFonts w:ascii="Verdana" w:hAnsi="Verdana"/>
                <w:b/>
                <w:sz w:val="16"/>
                <w:szCs w:val="16"/>
                <w:lang w:val="es-ES"/>
              </w:rPr>
            </w:pPr>
            <w:r w:rsidRPr="0012114C">
              <w:rPr>
                <w:rFonts w:ascii="Verdana" w:hAnsi="Verdana"/>
                <w:b/>
                <w:sz w:val="16"/>
                <w:szCs w:val="16"/>
                <w:lang w:val="es-ES"/>
              </w:rPr>
              <w:t>Innovación y Desarrollo Local SL</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145.793,58</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372</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7.648</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19,06</w:t>
            </w:r>
          </w:p>
        </w:tc>
      </w:tr>
      <w:tr w:rsidR="00C443C9" w:rsidTr="009B173F">
        <w:trPr>
          <w:trHeight w:val="397"/>
          <w:jc w:val="center"/>
        </w:trPr>
        <w:tc>
          <w:tcPr>
            <w:tcW w:w="3402" w:type="dxa"/>
            <w:tcBorders>
              <w:top w:val="single" w:sz="6" w:space="0" w:color="000001"/>
              <w:bottom w:val="single" w:sz="6" w:space="0" w:color="000001"/>
            </w:tcBorders>
            <w:shd w:val="clear" w:color="auto" w:fill="auto"/>
            <w:vAlign w:val="center"/>
          </w:tcPr>
          <w:p w:rsidR="00C443C9" w:rsidRPr="0012114C" w:rsidRDefault="00C443C9" w:rsidP="00C443C9">
            <w:pPr>
              <w:pStyle w:val="Compact"/>
              <w:spacing w:before="0" w:after="0"/>
              <w:rPr>
                <w:rFonts w:ascii="Verdana" w:hAnsi="Verdana"/>
                <w:b/>
                <w:sz w:val="16"/>
                <w:szCs w:val="16"/>
              </w:rPr>
            </w:pPr>
            <w:r w:rsidRPr="0012114C">
              <w:rPr>
                <w:rFonts w:ascii="Verdana" w:hAnsi="Verdana"/>
                <w:b/>
                <w:sz w:val="16"/>
                <w:szCs w:val="16"/>
              </w:rPr>
              <w:t>Virensis SA</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175.991,16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372</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7.648</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23,01</w:t>
            </w:r>
          </w:p>
        </w:tc>
      </w:tr>
      <w:tr w:rsidR="00C443C9" w:rsidTr="009B173F">
        <w:trPr>
          <w:trHeight w:val="397"/>
          <w:jc w:val="center"/>
        </w:trPr>
        <w:tc>
          <w:tcPr>
            <w:tcW w:w="3402" w:type="dxa"/>
            <w:tcBorders>
              <w:top w:val="single" w:sz="6" w:space="0" w:color="000001"/>
              <w:bottom w:val="single" w:sz="6" w:space="0" w:color="000001"/>
            </w:tcBorders>
            <w:shd w:val="clear" w:color="auto" w:fill="auto"/>
            <w:vAlign w:val="center"/>
          </w:tcPr>
          <w:p w:rsidR="00C443C9" w:rsidRPr="0012114C" w:rsidRDefault="00C443C9" w:rsidP="00C443C9">
            <w:pPr>
              <w:pStyle w:val="Compact"/>
              <w:spacing w:before="0" w:after="0"/>
              <w:rPr>
                <w:rFonts w:ascii="Verdana" w:hAnsi="Verdana"/>
                <w:b/>
                <w:sz w:val="16"/>
                <w:szCs w:val="16"/>
              </w:rPr>
            </w:pPr>
            <w:r w:rsidRPr="0012114C">
              <w:rPr>
                <w:rFonts w:ascii="Verdana" w:hAnsi="Verdana"/>
                <w:b/>
                <w:sz w:val="16"/>
                <w:szCs w:val="16"/>
              </w:rPr>
              <w:t>Aula Intercultural SL</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171.677,22</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7.276</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909</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8.185</w:t>
            </w:r>
          </w:p>
        </w:tc>
        <w:tc>
          <w:tcPr>
            <w:tcW w:w="1417" w:type="dxa"/>
            <w:tcBorders>
              <w:top w:val="single" w:sz="6" w:space="0" w:color="000001"/>
              <w:bottom w:val="single" w:sz="6" w:space="0" w:color="000001"/>
            </w:tcBorders>
            <w:shd w:val="clear" w:color="auto" w:fill="auto"/>
            <w:vAlign w:val="center"/>
          </w:tcPr>
          <w:p w:rsidR="00C443C9" w:rsidRPr="00C443C9" w:rsidRDefault="00C443C9" w:rsidP="00C443C9">
            <w:pPr>
              <w:pStyle w:val="Compact"/>
              <w:spacing w:before="0" w:after="0"/>
              <w:jc w:val="right"/>
              <w:rPr>
                <w:rFonts w:ascii="Verdana" w:hAnsi="Verdana"/>
                <w:sz w:val="16"/>
                <w:szCs w:val="16"/>
              </w:rPr>
            </w:pPr>
            <w:r w:rsidRPr="00C443C9">
              <w:rPr>
                <w:rFonts w:ascii="Verdana" w:hAnsi="Verdana"/>
                <w:sz w:val="16"/>
                <w:szCs w:val="16"/>
              </w:rPr>
              <w:t>20,971</w:t>
            </w:r>
          </w:p>
        </w:tc>
      </w:tr>
    </w:tbl>
    <w:p w:rsidR="0012114C" w:rsidRPr="0012114C" w:rsidRDefault="0012114C" w:rsidP="0012114C">
      <w:pPr>
        <w:spacing w:after="0" w:line="360" w:lineRule="auto"/>
        <w:jc w:val="both"/>
        <w:rPr>
          <w:rFonts w:ascii="Verdana" w:eastAsia="Calibri" w:hAnsi="Verdana" w:cs="Times New Roman"/>
          <w:color w:val="auto"/>
          <w:sz w:val="14"/>
          <w:szCs w:val="16"/>
          <w:lang w:val="es-ES"/>
        </w:rPr>
      </w:pPr>
      <w:r w:rsidRPr="0012114C">
        <w:rPr>
          <w:rFonts w:ascii="Verdana" w:eastAsia="Calibri" w:hAnsi="Verdana" w:cs="Times New Roman"/>
          <w:color w:val="auto"/>
          <w:sz w:val="14"/>
          <w:szCs w:val="16"/>
          <w:lang w:val="es-ES"/>
        </w:rPr>
        <w:t>Fuente: Ayuntamiento de Madrid y elaboración propia.</w:t>
      </w:r>
    </w:p>
    <w:p w:rsidR="00F20BC7" w:rsidRDefault="00F20BC7" w:rsidP="0012114C">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 xml:space="preserve">Aunque la oferta presentada por Innovación y Desarrollo Local SL, desde el punto de vista económico, fue la más baja, se excluyó por considerarla como “Baja temeraria”. Por tanto, las dos ofertas que, desde el punto de vista de coste/hora </w:t>
      </w:r>
      <w:r w:rsidR="0012114C">
        <w:rPr>
          <w:rFonts w:ascii="Verdana" w:hAnsi="Verdana"/>
          <w:sz w:val="18"/>
          <w:szCs w:val="18"/>
          <w:lang w:val="es-ES"/>
        </w:rPr>
        <w:t>eran</w:t>
      </w:r>
      <w:r w:rsidRPr="00F20BC7">
        <w:rPr>
          <w:rFonts w:ascii="Verdana" w:hAnsi="Verdana"/>
          <w:sz w:val="18"/>
          <w:szCs w:val="18"/>
          <w:lang w:val="es-ES"/>
        </w:rPr>
        <w:t xml:space="preserve"> las más baratas fueron Aula Intercultural SL (20,97 €/hora) y Tritoma SL (21,16 €/hora).</w:t>
      </w:r>
    </w:p>
    <w:p w:rsidR="00F20BC7"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Es evidente que la oferta más barata corresponde a Aula Intercultural SL, pero independientemente de los criterios establecidos en el Pliego de Cláusulas Administrativas para calificar y valorar las ofertas, habría que haber considerado que Tritoma SL ofrecía un incremento de materiales por importe de 20.045 € en relación a los 10.658 € que figuraban en la propuesta de Aula Intercultural SL. Además, el número de horas totales ofrecidas por Tritoma SL suponían un incremento cuantitativo y cualitativo sustancialmente superior al de Aula Intercultural SL, lo que hubiera redundado en beneficio de la ciudadanía.</w:t>
      </w:r>
    </w:p>
    <w:p w:rsidR="00F20BC7" w:rsidRDefault="00F20BC7" w:rsidP="00F20BC7">
      <w:pPr>
        <w:pStyle w:val="Textoindependiente"/>
        <w:spacing w:before="0" w:after="0" w:line="360" w:lineRule="auto"/>
        <w:jc w:val="both"/>
        <w:rPr>
          <w:rFonts w:ascii="Verdana" w:hAnsi="Verdana"/>
          <w:sz w:val="18"/>
          <w:szCs w:val="18"/>
          <w:lang w:val="es-ES"/>
        </w:rPr>
      </w:pPr>
    </w:p>
    <w:p w:rsidR="00F20BC7"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 xml:space="preserve">Como el único criterio para su adjudicación </w:t>
      </w:r>
      <w:r w:rsidR="001A4002">
        <w:rPr>
          <w:rFonts w:ascii="Verdana" w:hAnsi="Verdana"/>
          <w:sz w:val="18"/>
          <w:szCs w:val="18"/>
          <w:lang w:val="es-ES"/>
        </w:rPr>
        <w:t>era</w:t>
      </w:r>
      <w:r w:rsidRPr="00F20BC7">
        <w:rPr>
          <w:rFonts w:ascii="Verdana" w:hAnsi="Verdana"/>
          <w:sz w:val="18"/>
          <w:szCs w:val="18"/>
          <w:lang w:val="es-ES"/>
        </w:rPr>
        <w:t xml:space="preserve"> “la oferta económica más ventajosa”, no se tuvieron en cuenta cláusulas sociales</w:t>
      </w:r>
      <w:r w:rsidR="001A4002" w:rsidRPr="001A4002">
        <w:rPr>
          <w:rStyle w:val="Refdenotaalpie"/>
          <w:rFonts w:ascii="Verdana" w:hAnsi="Verdana"/>
          <w:b/>
          <w:color w:val="C00000"/>
          <w:sz w:val="20"/>
          <w:szCs w:val="20"/>
          <w:lang w:val="es-ES"/>
        </w:rPr>
        <w:footnoteReference w:id="1"/>
      </w:r>
      <w:r w:rsidRPr="00F20BC7">
        <w:rPr>
          <w:rFonts w:ascii="Verdana" w:hAnsi="Verdana"/>
          <w:sz w:val="18"/>
          <w:szCs w:val="18"/>
          <w:lang w:val="es-ES"/>
        </w:rPr>
        <w:t xml:space="preserve"> y culturales que, en nuestra opinión, serían necesarias para mejorar las condiciones laborales de los profesores y la calidad del servicio cultural. Así</w:t>
      </w:r>
      <w:r w:rsidR="009F6751">
        <w:rPr>
          <w:rFonts w:ascii="Verdana" w:hAnsi="Verdana"/>
          <w:sz w:val="18"/>
          <w:szCs w:val="18"/>
          <w:lang w:val="es-ES"/>
        </w:rPr>
        <w:t>,</w:t>
      </w:r>
      <w:r w:rsidRPr="00F20BC7">
        <w:rPr>
          <w:rFonts w:ascii="Verdana" w:hAnsi="Verdana"/>
          <w:sz w:val="18"/>
          <w:szCs w:val="18"/>
          <w:lang w:val="es-ES"/>
        </w:rPr>
        <w:t xml:space="preserve"> el contrato adjudicado a Aula Intercultural SL fue de 171.677 euros</w:t>
      </w:r>
      <w:r w:rsidR="009F6751">
        <w:rPr>
          <w:rFonts w:ascii="Verdana" w:hAnsi="Verdana"/>
          <w:sz w:val="18"/>
          <w:szCs w:val="18"/>
          <w:lang w:val="es-ES"/>
        </w:rPr>
        <w:t>.</w:t>
      </w:r>
    </w:p>
    <w:p w:rsidR="009F6751" w:rsidRDefault="009F6751" w:rsidP="00F20BC7">
      <w:pPr>
        <w:pStyle w:val="Textoindependiente"/>
        <w:spacing w:before="0" w:after="0" w:line="360" w:lineRule="auto"/>
        <w:jc w:val="both"/>
        <w:rPr>
          <w:rFonts w:ascii="Verdana" w:hAnsi="Verdana"/>
          <w:sz w:val="18"/>
          <w:szCs w:val="18"/>
          <w:lang w:val="es-ES"/>
        </w:rPr>
      </w:pPr>
    </w:p>
    <w:p w:rsidR="00F20BC7"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Pero lo más grave fue que la solvencia de la empresa Aula Intercultura</w:t>
      </w:r>
      <w:r w:rsidR="00F20BC7">
        <w:rPr>
          <w:rFonts w:ascii="Verdana" w:hAnsi="Verdana"/>
          <w:sz w:val="18"/>
          <w:szCs w:val="18"/>
          <w:lang w:val="es-ES"/>
        </w:rPr>
        <w:t>l</w:t>
      </w:r>
      <w:r w:rsidRPr="00F20BC7">
        <w:rPr>
          <w:rFonts w:ascii="Verdana" w:hAnsi="Verdana"/>
          <w:sz w:val="18"/>
          <w:szCs w:val="18"/>
          <w:lang w:val="es-ES"/>
        </w:rPr>
        <w:t xml:space="preserve"> SL era más que dudosa y no cumplía las condiciones para poder presentarse al concurso de licitación. Según datos del Registro Mercantil la empresa Aula Intercultural SL se constituyó el 20 de marzo del año 2000 pero solamente se dispone de información económica hasta el año 2005. La hoja registral se halla cerrada desde el 1 de enero de 20</w:t>
      </w:r>
      <w:r w:rsidR="009F6751">
        <w:rPr>
          <w:rFonts w:ascii="Verdana" w:hAnsi="Verdana"/>
          <w:sz w:val="18"/>
          <w:szCs w:val="18"/>
          <w:lang w:val="es-ES"/>
        </w:rPr>
        <w:t>0</w:t>
      </w:r>
      <w:r w:rsidRPr="00F20BC7">
        <w:rPr>
          <w:rFonts w:ascii="Verdana" w:hAnsi="Verdana"/>
          <w:sz w:val="18"/>
          <w:szCs w:val="18"/>
          <w:lang w:val="es-ES"/>
        </w:rPr>
        <w:t xml:space="preserve">5 debido al </w:t>
      </w:r>
      <w:r w:rsidRPr="00F20BC7">
        <w:rPr>
          <w:rFonts w:ascii="Verdana" w:hAnsi="Verdana"/>
          <w:b/>
          <w:sz w:val="18"/>
          <w:szCs w:val="18"/>
          <w:lang w:val="es-ES"/>
        </w:rPr>
        <w:t>incumplimiento de la obligación de depositar sus cuentas</w:t>
      </w:r>
      <w:r w:rsidR="00F20BC7">
        <w:rPr>
          <w:rFonts w:ascii="Verdana" w:hAnsi="Verdana"/>
          <w:sz w:val="18"/>
          <w:szCs w:val="18"/>
          <w:lang w:val="es-ES"/>
        </w:rPr>
        <w:t>.</w:t>
      </w:r>
    </w:p>
    <w:p w:rsidR="00F20BC7" w:rsidRDefault="00F20BC7" w:rsidP="00F20BC7">
      <w:pPr>
        <w:pStyle w:val="Textoindependiente"/>
        <w:spacing w:before="0" w:after="0" w:line="360" w:lineRule="auto"/>
        <w:jc w:val="both"/>
        <w:rPr>
          <w:rFonts w:ascii="Verdana" w:hAnsi="Verdana"/>
          <w:sz w:val="18"/>
          <w:szCs w:val="18"/>
          <w:lang w:val="es-ES"/>
        </w:rPr>
      </w:pPr>
    </w:p>
    <w:p w:rsidR="009126FD" w:rsidRDefault="009126FD" w:rsidP="00F20BC7">
      <w:pPr>
        <w:pStyle w:val="Textoindependiente"/>
        <w:spacing w:before="0" w:after="0" w:line="360" w:lineRule="auto"/>
        <w:jc w:val="both"/>
        <w:rPr>
          <w:rFonts w:ascii="Verdana" w:hAnsi="Verdana"/>
          <w:sz w:val="18"/>
          <w:szCs w:val="18"/>
          <w:lang w:val="es-ES"/>
        </w:rPr>
      </w:pPr>
    </w:p>
    <w:p w:rsidR="009126FD" w:rsidRDefault="009126FD"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A pesar de ello no nos explicamos cómo el Ayuntamiento admitió un certificado de solvencia emitido por la propia empresa que lleva desde el año 2005 sin presentar sus cuentas ante el Registro Mercantil y que, en el año 2011, por deudas, la Seguridad Social le requirió para embargo de bienes.</w:t>
      </w:r>
    </w:p>
    <w:p w:rsidR="00F20BC7" w:rsidRDefault="00F20BC7" w:rsidP="00F20BC7">
      <w:pPr>
        <w:pStyle w:val="Textoindependiente"/>
        <w:spacing w:before="0" w:after="0" w:line="360" w:lineRule="auto"/>
        <w:jc w:val="both"/>
        <w:rPr>
          <w:rFonts w:ascii="Verdana" w:hAnsi="Verdana"/>
          <w:sz w:val="18"/>
          <w:szCs w:val="18"/>
          <w:lang w:val="es-ES"/>
        </w:rPr>
      </w:pPr>
    </w:p>
    <w:p w:rsidR="00F27086" w:rsidRDefault="008315C9" w:rsidP="00F20BC7">
      <w:pPr>
        <w:pStyle w:val="Textoindependiente"/>
        <w:spacing w:before="0" w:after="0" w:line="360" w:lineRule="auto"/>
        <w:jc w:val="both"/>
        <w:rPr>
          <w:rFonts w:ascii="Verdana" w:hAnsi="Verdana"/>
          <w:sz w:val="18"/>
          <w:szCs w:val="18"/>
          <w:lang w:val="es-ES"/>
        </w:rPr>
      </w:pPr>
      <w:r w:rsidRPr="00F20BC7">
        <w:rPr>
          <w:rFonts w:ascii="Verdana" w:hAnsi="Verdana"/>
          <w:sz w:val="18"/>
          <w:szCs w:val="18"/>
          <w:lang w:val="es-ES"/>
        </w:rPr>
        <w:t xml:space="preserve">Otro aspecto </w:t>
      </w:r>
      <w:r w:rsidR="00EC749B">
        <w:rPr>
          <w:rFonts w:ascii="Verdana" w:hAnsi="Verdana"/>
          <w:sz w:val="18"/>
          <w:szCs w:val="18"/>
          <w:lang w:val="es-ES"/>
        </w:rPr>
        <w:t xml:space="preserve">opaco </w:t>
      </w:r>
      <w:r w:rsidRPr="00F20BC7">
        <w:rPr>
          <w:rFonts w:ascii="Verdana" w:hAnsi="Verdana"/>
          <w:sz w:val="18"/>
          <w:szCs w:val="18"/>
          <w:lang w:val="es-ES"/>
        </w:rPr>
        <w:t>que revela el informe es la práctica generalizada de cesión de espacios y medios públicos a las empresas adjudicatarias para realizar actividades externas a los servicios culturales de los cursos propios de los Centros. Este punto habría que aclararlo ya que supondría un capítulo importante para calcular los ingresos de las empresas. En la “Cesión de espacios y medios de los Centros” se previeron 6.682 horas y se han cedido 13.438 horas.</w:t>
      </w:r>
    </w:p>
    <w:p w:rsidR="00F20BC7" w:rsidRPr="00F20BC7" w:rsidRDefault="00F20BC7" w:rsidP="00F20BC7">
      <w:pPr>
        <w:pStyle w:val="Textoindependiente"/>
        <w:spacing w:before="0" w:after="0" w:line="360" w:lineRule="auto"/>
        <w:jc w:val="both"/>
        <w:rPr>
          <w:rFonts w:ascii="Verdana" w:hAnsi="Verdana"/>
          <w:sz w:val="18"/>
          <w:szCs w:val="18"/>
          <w:lang w:val="es-ES"/>
        </w:rPr>
      </w:pPr>
    </w:p>
    <w:p w:rsidR="00F27086" w:rsidRPr="00F20BC7" w:rsidRDefault="008315C9" w:rsidP="00F20BC7">
      <w:pPr>
        <w:pStyle w:val="Ttulo1"/>
        <w:spacing w:before="0" w:line="360" w:lineRule="auto"/>
        <w:jc w:val="both"/>
        <w:rPr>
          <w:rFonts w:ascii="Verdana" w:hAnsi="Verdana"/>
          <w:sz w:val="24"/>
          <w:szCs w:val="24"/>
          <w:lang w:val="es-ES"/>
        </w:rPr>
      </w:pPr>
      <w:bookmarkStart w:id="7" w:name="propuestas-a-futuro"/>
      <w:bookmarkEnd w:id="7"/>
      <w:r w:rsidRPr="00F20BC7">
        <w:rPr>
          <w:rFonts w:ascii="Verdana" w:hAnsi="Verdana"/>
          <w:sz w:val="24"/>
          <w:szCs w:val="24"/>
          <w:lang w:val="es-ES"/>
        </w:rPr>
        <w:t>Propuestas a futuro</w:t>
      </w:r>
    </w:p>
    <w:p w:rsidR="00F27086" w:rsidRDefault="008315C9" w:rsidP="00F20BC7">
      <w:pPr>
        <w:pStyle w:val="FirstParagraph"/>
        <w:spacing w:before="0" w:after="0" w:line="360" w:lineRule="auto"/>
        <w:jc w:val="both"/>
        <w:rPr>
          <w:rFonts w:ascii="Verdana" w:hAnsi="Verdana"/>
          <w:sz w:val="18"/>
          <w:szCs w:val="18"/>
          <w:lang w:val="es-ES"/>
        </w:rPr>
      </w:pPr>
      <w:r w:rsidRPr="00F20BC7">
        <w:rPr>
          <w:rFonts w:ascii="Verdana" w:hAnsi="Verdana"/>
          <w:sz w:val="18"/>
          <w:szCs w:val="18"/>
          <w:lang w:val="es-ES"/>
        </w:rPr>
        <w:t>El informe se cierra con una serie de propuestas y recomendaciones para el Ayuntamiento insistiendo en que los Centros Culturales deben volver a sus orígenes y responder a las necesidades reales de los barrios. Para ello se insta a dar los pasos necesarios para volver a dar más protagonismo a la ciudadanía en la planificación y autogestión de los Talleres de Formación de los Centros Culturales, desterrando el ánimo de lucro en su gestión y abordando la remunicipalización de los mismos.</w:t>
      </w:r>
    </w:p>
    <w:p w:rsidR="009F6751" w:rsidRDefault="009F6751" w:rsidP="00F20BC7">
      <w:pPr>
        <w:pStyle w:val="FirstParagraph"/>
        <w:spacing w:before="0" w:after="0" w:line="360" w:lineRule="auto"/>
        <w:jc w:val="both"/>
        <w:rPr>
          <w:rFonts w:ascii="Verdana" w:hAnsi="Verdana"/>
          <w:sz w:val="18"/>
          <w:szCs w:val="18"/>
          <w:lang w:val="es-ES"/>
        </w:rPr>
      </w:pPr>
    </w:p>
    <w:p w:rsidR="009F6751" w:rsidRDefault="009F6751" w:rsidP="00F20BC7">
      <w:pPr>
        <w:pStyle w:val="FirstParagraph"/>
        <w:spacing w:before="0" w:after="0" w:line="360" w:lineRule="auto"/>
        <w:jc w:val="both"/>
        <w:rPr>
          <w:rFonts w:ascii="Verdana" w:hAnsi="Verdana"/>
          <w:sz w:val="18"/>
          <w:szCs w:val="18"/>
          <w:lang w:val="es-ES"/>
        </w:rPr>
      </w:pPr>
    </w:p>
    <w:p w:rsidR="009F6751" w:rsidRPr="00F20BC7" w:rsidRDefault="009F6751" w:rsidP="00F20BC7">
      <w:pPr>
        <w:pStyle w:val="FirstParagraph"/>
        <w:spacing w:before="0" w:after="0" w:line="360" w:lineRule="auto"/>
        <w:jc w:val="both"/>
        <w:rPr>
          <w:rFonts w:ascii="Verdana" w:hAnsi="Verdana"/>
          <w:sz w:val="18"/>
          <w:szCs w:val="18"/>
          <w:lang w:val="es-ES"/>
        </w:rPr>
      </w:pPr>
    </w:p>
    <w:sectPr w:rsidR="009F6751" w:rsidRPr="00F20BC7" w:rsidSect="00331285">
      <w:headerReference w:type="default" r:id="rId13"/>
      <w:footerReference w:type="default" r:id="rId14"/>
      <w:pgSz w:w="12240" w:h="15840" w:code="1"/>
      <w:pgMar w:top="1134" w:right="1134" w:bottom="1134" w:left="1134" w:header="709" w:footer="709" w:gutter="0"/>
      <w:cols w:space="720"/>
      <w:formProt w:val="0"/>
      <w:titlePg/>
      <w:docGrid w:linePitch="326"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5F0" w:rsidRDefault="009C35F0" w:rsidP="00331285">
      <w:pPr>
        <w:spacing w:after="0"/>
      </w:pPr>
      <w:r>
        <w:separator/>
      </w:r>
    </w:p>
  </w:endnote>
  <w:endnote w:type="continuationSeparator" w:id="0">
    <w:p w:rsidR="009C35F0" w:rsidRDefault="009C35F0" w:rsidP="00331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erriweather Sans">
    <w:altName w:val="Calibri"/>
    <w:charset w:val="00"/>
    <w:family w:val="auto"/>
    <w:pitch w:val="default"/>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eastAsia="Calibri" w:hAnsi="Verdana" w:cs="Times New Roman"/>
        <w:color w:val="auto"/>
        <w:sz w:val="14"/>
        <w:szCs w:val="22"/>
        <w:lang w:val="es-ES"/>
      </w:rPr>
      <w:id w:val="-1306935910"/>
      <w:docPartObj>
        <w:docPartGallery w:val="Page Numbers (Bottom of Page)"/>
        <w:docPartUnique/>
      </w:docPartObj>
    </w:sdtPr>
    <w:sdtEndPr/>
    <w:sdtContent>
      <w:sdt>
        <w:sdtPr>
          <w:rPr>
            <w:rFonts w:ascii="Verdana" w:eastAsia="Calibri" w:hAnsi="Verdana" w:cs="Times New Roman"/>
            <w:color w:val="auto"/>
            <w:sz w:val="14"/>
            <w:szCs w:val="22"/>
            <w:lang w:val="es-ES"/>
          </w:rPr>
          <w:id w:val="-1769616900"/>
          <w:docPartObj>
            <w:docPartGallery w:val="Page Numbers (Top of Page)"/>
            <w:docPartUnique/>
          </w:docPartObj>
        </w:sdtPr>
        <w:sdtEndPr/>
        <w:sdtContent>
          <w:p w:rsidR="00331285" w:rsidRPr="00331285" w:rsidRDefault="00331285" w:rsidP="00331285">
            <w:pPr>
              <w:tabs>
                <w:tab w:val="center" w:pos="4252"/>
                <w:tab w:val="right" w:pos="8504"/>
              </w:tabs>
              <w:spacing w:after="0"/>
              <w:rPr>
                <w:rFonts w:ascii="Verdana" w:eastAsia="Calibri" w:hAnsi="Verdana" w:cs="Times New Roman"/>
                <w:color w:val="auto"/>
                <w:sz w:val="14"/>
                <w:szCs w:val="22"/>
                <w:lang w:val="es-ES"/>
              </w:rPr>
            </w:pPr>
            <w:r w:rsidRPr="00331285">
              <w:rPr>
                <w:rFonts w:ascii="Verdana" w:eastAsia="Calibri" w:hAnsi="Verdana" w:cs="Times New Roman"/>
                <w:noProof/>
                <w:color w:val="auto"/>
                <w:sz w:val="14"/>
                <w:szCs w:val="22"/>
                <w:lang w:val="es-ES" w:eastAsia="es-ES"/>
              </w:rPr>
              <mc:AlternateContent>
                <mc:Choice Requires="wps">
                  <w:drawing>
                    <wp:anchor distT="0" distB="0" distL="114300" distR="114300" simplePos="0" relativeHeight="251659264" behindDoc="0" locked="0" layoutInCell="1" allowOverlap="1" wp14:anchorId="7717B78F" wp14:editId="63E9E34E">
                      <wp:simplePos x="0" y="0"/>
                      <wp:positionH relativeFrom="margin">
                        <wp:align>center</wp:align>
                      </wp:positionH>
                      <wp:positionV relativeFrom="paragraph">
                        <wp:posOffset>-24130</wp:posOffset>
                      </wp:positionV>
                      <wp:extent cx="6300000" cy="0"/>
                      <wp:effectExtent l="0" t="0" r="24765" b="19050"/>
                      <wp:wrapNone/>
                      <wp:docPr id="35" name="Conector recto 35"/>
                      <wp:cNvGraphicFramePr/>
                      <a:graphic xmlns:a="http://schemas.openxmlformats.org/drawingml/2006/main">
                        <a:graphicData uri="http://schemas.microsoft.com/office/word/2010/wordprocessingShape">
                          <wps:wsp>
                            <wps:cNvCnPr/>
                            <wps:spPr>
                              <a:xfrm>
                                <a:off x="0" y="0"/>
                                <a:ext cx="6300000" cy="0"/>
                              </a:xfrm>
                              <a:prstGeom prst="line">
                                <a:avLst/>
                              </a:prstGeom>
                              <a:noFill/>
                              <a:ln w="3175"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6C33C2B8" id="Conector recto 35"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pt" to="496.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" strokecolor="#5b9bd5" strokeweight=".25pt">
                      <v:stroke joinstyle="miter"/>
                      <w10:wrap anchorx="margin"/>
                    </v:line>
                  </w:pict>
                </mc:Fallback>
              </mc:AlternateContent>
            </w:r>
            <w:r w:rsidRPr="00331285">
              <w:rPr>
                <w:rFonts w:ascii="Verdana" w:eastAsia="Calibri" w:hAnsi="Verdana" w:cs="Times New Roman"/>
                <w:b/>
                <w:color w:val="auto"/>
                <w:sz w:val="14"/>
                <w:szCs w:val="22"/>
                <w:lang w:val="es-ES"/>
              </w:rPr>
              <w:t>Audita Usera</w:t>
            </w:r>
          </w:p>
          <w:p w:rsidR="00331285" w:rsidRPr="00331285" w:rsidRDefault="00331285" w:rsidP="00331285">
            <w:pPr>
              <w:tabs>
                <w:tab w:val="center" w:pos="4252"/>
                <w:tab w:val="right" w:pos="8504"/>
              </w:tabs>
              <w:spacing w:after="0"/>
              <w:rPr>
                <w:rFonts w:ascii="Verdana" w:eastAsia="Calibri" w:hAnsi="Verdana" w:cs="Times New Roman"/>
                <w:color w:val="auto"/>
                <w:sz w:val="14"/>
                <w:szCs w:val="22"/>
                <w:lang w:val="es-ES"/>
              </w:rPr>
            </w:pPr>
            <w:r w:rsidRPr="00331285">
              <w:rPr>
                <w:rFonts w:ascii="Verdana" w:eastAsia="Calibri" w:hAnsi="Verdana" w:cs="Times New Roman"/>
                <w:color w:val="auto"/>
                <w:sz w:val="14"/>
                <w:szCs w:val="22"/>
                <w:lang w:val="es-ES"/>
              </w:rPr>
              <w:t xml:space="preserve">Plataforma Auditoría Ciudadana de la Deuda ¡¡No debemos!! ¡¡No pagamos!! </w:t>
            </w:r>
            <w:r w:rsidRPr="00331285">
              <w:rPr>
                <w:rFonts w:ascii="Verdana" w:eastAsia="Calibri" w:hAnsi="Verdana" w:cs="Times New Roman"/>
                <w:b/>
                <w:color w:val="auto"/>
                <w:sz w:val="14"/>
                <w:szCs w:val="22"/>
                <w:lang w:val="es-ES"/>
              </w:rPr>
              <w:t>(PACD Madrid)</w:t>
            </w:r>
          </w:p>
          <w:p w:rsidR="00331285" w:rsidRPr="00331285" w:rsidRDefault="00331285" w:rsidP="00331285">
            <w:pPr>
              <w:tabs>
                <w:tab w:val="center" w:pos="4252"/>
                <w:tab w:val="right" w:pos="8504"/>
              </w:tabs>
              <w:spacing w:after="0"/>
              <w:jc w:val="both"/>
              <w:rPr>
                <w:rFonts w:ascii="Verdana" w:eastAsia="Calibri" w:hAnsi="Verdana" w:cs="Times New Roman"/>
                <w:color w:val="0000FF"/>
                <w:sz w:val="14"/>
                <w:szCs w:val="22"/>
                <w:u w:val="single"/>
                <w:lang w:val="es-ES"/>
              </w:rPr>
            </w:pPr>
            <w:r w:rsidRPr="00331285">
              <w:rPr>
                <w:rFonts w:ascii="Verdana" w:eastAsia="Calibri" w:hAnsi="Verdana" w:cs="Times New Roman"/>
                <w:color w:val="auto"/>
                <w:sz w:val="14"/>
                <w:szCs w:val="22"/>
                <w:lang w:val="es-ES"/>
              </w:rPr>
              <w:t xml:space="preserve">E-mail: </w:t>
            </w:r>
            <w:hyperlink r:id="rId1" w:history="1">
              <w:r w:rsidRPr="00331285">
                <w:rPr>
                  <w:rFonts w:ascii="Verdana" w:eastAsia="Calibri" w:hAnsi="Verdana" w:cs="Times New Roman"/>
                  <w:color w:val="0000FF"/>
                  <w:sz w:val="14"/>
                  <w:szCs w:val="22"/>
                  <w:u w:val="single"/>
                  <w:lang w:val="es-ES"/>
                </w:rPr>
                <w:t>auditausera@gmail.com</w:t>
              </w:r>
            </w:hyperlink>
          </w:p>
          <w:p w:rsidR="00331285" w:rsidRPr="00331285" w:rsidRDefault="00331285" w:rsidP="00331285">
            <w:pPr>
              <w:tabs>
                <w:tab w:val="center" w:pos="4252"/>
                <w:tab w:val="right" w:pos="8504"/>
              </w:tabs>
              <w:spacing w:after="0"/>
              <w:jc w:val="both"/>
              <w:rPr>
                <w:rFonts w:ascii="Verdana" w:eastAsia="Calibri" w:hAnsi="Verdana" w:cs="Times New Roman"/>
                <w:color w:val="0000FF"/>
                <w:sz w:val="14"/>
                <w:szCs w:val="22"/>
                <w:u w:val="single"/>
                <w:lang w:val="es-ES"/>
              </w:rPr>
            </w:pPr>
          </w:p>
          <w:p w:rsidR="00331285" w:rsidRPr="00331285" w:rsidRDefault="009C35F0" w:rsidP="00331285">
            <w:pPr>
              <w:tabs>
                <w:tab w:val="center" w:pos="4252"/>
                <w:tab w:val="right" w:pos="8504"/>
              </w:tabs>
              <w:spacing w:after="0"/>
              <w:jc w:val="both"/>
              <w:rPr>
                <w:rFonts w:ascii="Verdana" w:eastAsia="Calibri" w:hAnsi="Verdana" w:cs="Times New Roman"/>
                <w:color w:val="F06B2A"/>
                <w:sz w:val="14"/>
                <w:szCs w:val="22"/>
                <w:lang w:val="es-ES"/>
              </w:rPr>
            </w:pPr>
            <w:hyperlink r:id="rId2" w:history="1">
              <w:r w:rsidR="00331285" w:rsidRPr="00331285">
                <w:rPr>
                  <w:rFonts w:ascii="Verdana" w:eastAsia="Calibri" w:hAnsi="Verdana" w:cs="Times New Roman"/>
                  <w:color w:val="F06B2A"/>
                  <w:sz w:val="14"/>
                  <w:szCs w:val="22"/>
                  <w:u w:val="single"/>
                  <w:lang w:val="es-ES"/>
                </w:rPr>
                <w:t>http://madridauditamadrid.org</w:t>
              </w:r>
            </w:hyperlink>
          </w:p>
          <w:p w:rsidR="00331285" w:rsidRPr="00331285" w:rsidRDefault="00331285" w:rsidP="00331285">
            <w:pPr>
              <w:tabs>
                <w:tab w:val="center" w:pos="4252"/>
                <w:tab w:val="right" w:pos="8504"/>
              </w:tabs>
              <w:spacing w:after="0"/>
              <w:jc w:val="right"/>
              <w:rPr>
                <w:rFonts w:ascii="Calibri" w:eastAsia="Calibri" w:hAnsi="Calibri" w:cs="Times New Roman"/>
                <w:color w:val="auto"/>
                <w:sz w:val="22"/>
                <w:szCs w:val="22"/>
                <w:lang w:val="es-ES"/>
              </w:rPr>
            </w:pPr>
            <w:r w:rsidRPr="00331285">
              <w:rPr>
                <w:rFonts w:ascii="Verdana" w:eastAsia="Calibri" w:hAnsi="Verdana" w:cs="Times New Roman"/>
                <w:color w:val="auto"/>
                <w:sz w:val="14"/>
                <w:szCs w:val="22"/>
                <w:lang w:val="es-ES"/>
              </w:rPr>
              <w:t xml:space="preserve">Página </w:t>
            </w:r>
            <w:r w:rsidRPr="00331285">
              <w:rPr>
                <w:rFonts w:ascii="Verdana" w:eastAsia="Calibri" w:hAnsi="Verdana" w:cs="Times New Roman"/>
                <w:bCs/>
                <w:color w:val="auto"/>
                <w:sz w:val="14"/>
                <w:lang w:val="es-ES"/>
              </w:rPr>
              <w:fldChar w:fldCharType="begin"/>
            </w:r>
            <w:r w:rsidRPr="00331285">
              <w:rPr>
                <w:rFonts w:ascii="Verdana" w:eastAsia="Calibri" w:hAnsi="Verdana" w:cs="Times New Roman"/>
                <w:bCs/>
                <w:color w:val="auto"/>
                <w:sz w:val="14"/>
                <w:szCs w:val="22"/>
                <w:lang w:val="es-ES"/>
              </w:rPr>
              <w:instrText>PAGE</w:instrText>
            </w:r>
            <w:r w:rsidRPr="00331285">
              <w:rPr>
                <w:rFonts w:ascii="Verdana" w:eastAsia="Calibri" w:hAnsi="Verdana" w:cs="Times New Roman"/>
                <w:bCs/>
                <w:color w:val="auto"/>
                <w:sz w:val="14"/>
                <w:lang w:val="es-ES"/>
              </w:rPr>
              <w:fldChar w:fldCharType="separate"/>
            </w:r>
            <w:r w:rsidR="00816A9B">
              <w:rPr>
                <w:rFonts w:ascii="Verdana" w:eastAsia="Calibri" w:hAnsi="Verdana" w:cs="Times New Roman"/>
                <w:bCs/>
                <w:noProof/>
                <w:color w:val="auto"/>
                <w:sz w:val="14"/>
                <w:szCs w:val="22"/>
                <w:lang w:val="es-ES"/>
              </w:rPr>
              <w:t>9</w:t>
            </w:r>
            <w:r w:rsidRPr="00331285">
              <w:rPr>
                <w:rFonts w:ascii="Verdana" w:eastAsia="Calibri" w:hAnsi="Verdana" w:cs="Times New Roman"/>
                <w:bCs/>
                <w:color w:val="auto"/>
                <w:sz w:val="14"/>
                <w:lang w:val="es-ES"/>
              </w:rPr>
              <w:fldChar w:fldCharType="end"/>
            </w:r>
            <w:r w:rsidRPr="00331285">
              <w:rPr>
                <w:rFonts w:ascii="Verdana" w:eastAsia="Calibri" w:hAnsi="Verdana" w:cs="Times New Roman"/>
                <w:color w:val="auto"/>
                <w:sz w:val="14"/>
                <w:szCs w:val="22"/>
                <w:lang w:val="es-ES"/>
              </w:rPr>
              <w:t xml:space="preserve"> de </w:t>
            </w:r>
            <w:r w:rsidRPr="00331285">
              <w:rPr>
                <w:rFonts w:ascii="Verdana" w:eastAsia="Calibri" w:hAnsi="Verdana" w:cs="Times New Roman"/>
                <w:bCs/>
                <w:color w:val="auto"/>
                <w:sz w:val="14"/>
                <w:lang w:val="es-ES"/>
              </w:rPr>
              <w:fldChar w:fldCharType="begin"/>
            </w:r>
            <w:r w:rsidRPr="00331285">
              <w:rPr>
                <w:rFonts w:ascii="Verdana" w:eastAsia="Calibri" w:hAnsi="Verdana" w:cs="Times New Roman"/>
                <w:bCs/>
                <w:color w:val="auto"/>
                <w:sz w:val="14"/>
                <w:szCs w:val="22"/>
                <w:lang w:val="es-ES"/>
              </w:rPr>
              <w:instrText>NUMPAGES</w:instrText>
            </w:r>
            <w:r w:rsidRPr="00331285">
              <w:rPr>
                <w:rFonts w:ascii="Verdana" w:eastAsia="Calibri" w:hAnsi="Verdana" w:cs="Times New Roman"/>
                <w:bCs/>
                <w:color w:val="auto"/>
                <w:sz w:val="14"/>
                <w:lang w:val="es-ES"/>
              </w:rPr>
              <w:fldChar w:fldCharType="separate"/>
            </w:r>
            <w:r w:rsidR="00816A9B">
              <w:rPr>
                <w:rFonts w:ascii="Verdana" w:eastAsia="Calibri" w:hAnsi="Verdana" w:cs="Times New Roman"/>
                <w:bCs/>
                <w:noProof/>
                <w:color w:val="auto"/>
                <w:sz w:val="14"/>
                <w:szCs w:val="22"/>
                <w:lang w:val="es-ES"/>
              </w:rPr>
              <w:t>9</w:t>
            </w:r>
            <w:r w:rsidRPr="00331285">
              <w:rPr>
                <w:rFonts w:ascii="Verdana" w:eastAsia="Calibri" w:hAnsi="Verdana" w:cs="Times New Roman"/>
                <w:bCs/>
                <w:color w:val="auto"/>
                <w:sz w:val="14"/>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5F0" w:rsidRDefault="009C35F0" w:rsidP="00331285">
      <w:pPr>
        <w:spacing w:after="0"/>
      </w:pPr>
      <w:r>
        <w:separator/>
      </w:r>
    </w:p>
  </w:footnote>
  <w:footnote w:type="continuationSeparator" w:id="0">
    <w:p w:rsidR="009C35F0" w:rsidRDefault="009C35F0" w:rsidP="00331285">
      <w:pPr>
        <w:spacing w:after="0"/>
      </w:pPr>
      <w:r>
        <w:continuationSeparator/>
      </w:r>
    </w:p>
  </w:footnote>
  <w:footnote w:id="1">
    <w:p w:rsidR="001A4002" w:rsidRPr="001A4002" w:rsidRDefault="001A4002" w:rsidP="001A4002">
      <w:pPr>
        <w:pStyle w:val="Textonotapie"/>
        <w:jc w:val="both"/>
        <w:rPr>
          <w:lang w:val="es-ES"/>
        </w:rPr>
      </w:pPr>
      <w:r w:rsidRPr="001A4002">
        <w:rPr>
          <w:rStyle w:val="Refdenotaalpie"/>
          <w:rFonts w:ascii="Verdana" w:hAnsi="Verdana"/>
          <w:b/>
          <w:sz w:val="18"/>
          <w:szCs w:val="18"/>
        </w:rPr>
        <w:footnoteRef/>
      </w:r>
      <w:r w:rsidRPr="001A4002">
        <w:rPr>
          <w:rFonts w:ascii="Verdana" w:hAnsi="Verdana"/>
          <w:b/>
          <w:sz w:val="18"/>
          <w:szCs w:val="18"/>
          <w:lang w:val="es-ES"/>
        </w:rPr>
        <w:t>:</w:t>
      </w:r>
      <w:r w:rsidRPr="001A4002">
        <w:rPr>
          <w:lang w:val="es-ES"/>
        </w:rPr>
        <w:t xml:space="preserve"> </w:t>
      </w:r>
      <w:r w:rsidRPr="001A4002">
        <w:rPr>
          <w:rFonts w:ascii="Verdana" w:eastAsia="Calibri" w:hAnsi="Verdana" w:cs="Times New Roman"/>
          <w:color w:val="auto"/>
          <w:sz w:val="14"/>
          <w:szCs w:val="22"/>
          <w:lang w:val="es-ES"/>
        </w:rPr>
        <w:t xml:space="preserve">Para el </w:t>
      </w:r>
      <w:r w:rsidRPr="001A4002">
        <w:rPr>
          <w:rFonts w:ascii="Verdana" w:eastAsia="Calibri" w:hAnsi="Verdana" w:cs="Times New Roman"/>
          <w:b/>
          <w:color w:val="auto"/>
          <w:sz w:val="14"/>
          <w:szCs w:val="22"/>
          <w:lang w:val="es-ES"/>
        </w:rPr>
        <w:t>curso 2016-2017</w:t>
      </w:r>
      <w:r w:rsidRPr="001A4002">
        <w:rPr>
          <w:rFonts w:ascii="Verdana" w:eastAsia="Calibri" w:hAnsi="Verdana" w:cs="Times New Roman"/>
          <w:color w:val="auto"/>
          <w:sz w:val="14"/>
          <w:szCs w:val="22"/>
          <w:lang w:val="es-ES"/>
        </w:rPr>
        <w:t xml:space="preserve">, la oferta económica de </w:t>
      </w:r>
      <w:r w:rsidRPr="001A4002">
        <w:rPr>
          <w:rFonts w:ascii="Verdana" w:eastAsia="Calibri" w:hAnsi="Verdana" w:cs="Times New Roman"/>
          <w:b/>
          <w:color w:val="auto"/>
          <w:sz w:val="14"/>
          <w:szCs w:val="22"/>
          <w:lang w:val="es-ES"/>
        </w:rPr>
        <w:t>Tritoma SL,</w:t>
      </w:r>
      <w:r w:rsidRPr="001A4002">
        <w:rPr>
          <w:rFonts w:ascii="Verdana" w:eastAsia="Calibri" w:hAnsi="Verdana" w:cs="Times New Roman"/>
          <w:color w:val="auto"/>
          <w:sz w:val="14"/>
          <w:szCs w:val="22"/>
          <w:lang w:val="es-ES"/>
        </w:rPr>
        <w:t xml:space="preserve"> que nos ha facilitado el Ayuntamiento como respuesta a nuestra solicitud expediente nº 859, incorpora talleres de mejora y criterios sociales marcados por el Ayuntamiento. Las 4 ofertas restantes también l</w:t>
      </w:r>
      <w:r>
        <w:rPr>
          <w:rFonts w:ascii="Verdana" w:eastAsia="Calibri" w:hAnsi="Verdana" w:cs="Times New Roman"/>
          <w:color w:val="auto"/>
          <w:sz w:val="14"/>
          <w:szCs w:val="22"/>
          <w:lang w:val="es-ES"/>
        </w:rPr>
        <w:t>o</w:t>
      </w:r>
      <w:r w:rsidRPr="001A4002">
        <w:rPr>
          <w:rFonts w:ascii="Verdana" w:eastAsia="Calibri" w:hAnsi="Verdana" w:cs="Times New Roman"/>
          <w:color w:val="auto"/>
          <w:sz w:val="14"/>
          <w:szCs w:val="22"/>
          <w:lang w:val="es-ES"/>
        </w:rPr>
        <w:t xml:space="preserve">s </w:t>
      </w:r>
      <w:r>
        <w:rPr>
          <w:rFonts w:ascii="Verdana" w:eastAsia="Calibri" w:hAnsi="Verdana" w:cs="Times New Roman"/>
          <w:color w:val="auto"/>
          <w:sz w:val="14"/>
          <w:szCs w:val="22"/>
          <w:lang w:val="es-ES"/>
        </w:rPr>
        <w:t>contemplan</w:t>
      </w:r>
      <w:r w:rsidRPr="001A4002">
        <w:rPr>
          <w:rFonts w:ascii="Verdana" w:eastAsia="Calibri" w:hAnsi="Verdana" w:cs="Times New Roman"/>
          <w:color w:val="auto"/>
          <w:sz w:val="14"/>
          <w:szCs w:val="22"/>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285" w:rsidRDefault="00331285" w:rsidP="00331285">
    <w:pPr>
      <w:pStyle w:val="Encabezado"/>
      <w:jc w:val="right"/>
    </w:pPr>
    <w:r w:rsidRPr="00974B27">
      <w:rPr>
        <w:noProof/>
        <w:lang w:val="es-ES" w:eastAsia="es-ES"/>
      </w:rPr>
      <w:drawing>
        <wp:inline distT="0" distB="0" distL="0" distR="0" wp14:anchorId="3C8FD612" wp14:editId="751432C6">
          <wp:extent cx="673846" cy="360000"/>
          <wp:effectExtent l="0" t="0" r="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846"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886"/>
      </v:shape>
    </w:pict>
  </w:numPicBullet>
  <w:abstractNum w:abstractNumId="0" w15:restartNumberingAfterBreak="0">
    <w:nsid w:val="0EBC0015"/>
    <w:multiLevelType w:val="hybridMultilevel"/>
    <w:tmpl w:val="1194C46A"/>
    <w:lvl w:ilvl="0" w:tplc="A822B25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55042B"/>
    <w:multiLevelType w:val="hybridMultilevel"/>
    <w:tmpl w:val="1E3AF2F0"/>
    <w:lvl w:ilvl="0" w:tplc="48F8AF2E">
      <w:start w:val="1"/>
      <w:numFmt w:val="bullet"/>
      <w:lvlText w:val=""/>
      <w:lvlPicBulletId w:val="0"/>
      <w:lvlJc w:val="left"/>
      <w:pPr>
        <w:tabs>
          <w:tab w:val="num" w:pos="567"/>
        </w:tabs>
        <w:ind w:left="567" w:hanging="567"/>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 w15:restartNumberingAfterBreak="0">
    <w:nsid w:val="2C5A2385"/>
    <w:multiLevelType w:val="hybridMultilevel"/>
    <w:tmpl w:val="20AE1B38"/>
    <w:lvl w:ilvl="0" w:tplc="0C0A0001">
      <w:start w:val="1"/>
      <w:numFmt w:val="bullet"/>
      <w:lvlText w:val=""/>
      <w:lvlJc w:val="left"/>
      <w:pPr>
        <w:tabs>
          <w:tab w:val="num" w:pos="567"/>
        </w:tabs>
        <w:ind w:left="567" w:hanging="567"/>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15:restartNumberingAfterBreak="0">
    <w:nsid w:val="54C26772"/>
    <w:multiLevelType w:val="hybridMultilevel"/>
    <w:tmpl w:val="FF02A0FE"/>
    <w:lvl w:ilvl="0" w:tplc="1C2C0F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316E10"/>
    <w:multiLevelType w:val="hybridMultilevel"/>
    <w:tmpl w:val="DD709B4A"/>
    <w:lvl w:ilvl="0" w:tplc="8558F5F2">
      <w:start w:val="1"/>
      <w:numFmt w:val="bullet"/>
      <w:lvlText w:val=""/>
      <w:lvlJc w:val="left"/>
      <w:pPr>
        <w:tabs>
          <w:tab w:val="num" w:pos="2268"/>
        </w:tabs>
        <w:ind w:left="2268" w:hanging="567"/>
      </w:pPr>
      <w:rPr>
        <w:rFonts w:ascii="Wingdings" w:hAnsi="Wingdings" w:hint="default"/>
        <w:color w:val="0A5072"/>
        <w:sz w:val="16"/>
        <w:szCs w:val="16"/>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86"/>
    <w:rsid w:val="00021B0B"/>
    <w:rsid w:val="000A34D9"/>
    <w:rsid w:val="0012114C"/>
    <w:rsid w:val="00187E8A"/>
    <w:rsid w:val="001A4002"/>
    <w:rsid w:val="00331285"/>
    <w:rsid w:val="003D3241"/>
    <w:rsid w:val="004451CB"/>
    <w:rsid w:val="004674D4"/>
    <w:rsid w:val="00491CC1"/>
    <w:rsid w:val="005C541E"/>
    <w:rsid w:val="00691D50"/>
    <w:rsid w:val="007514FA"/>
    <w:rsid w:val="00753825"/>
    <w:rsid w:val="007638FD"/>
    <w:rsid w:val="00816A9B"/>
    <w:rsid w:val="008315C9"/>
    <w:rsid w:val="008922F1"/>
    <w:rsid w:val="009126FD"/>
    <w:rsid w:val="00925CF1"/>
    <w:rsid w:val="00933EB7"/>
    <w:rsid w:val="00973E35"/>
    <w:rsid w:val="00987AD7"/>
    <w:rsid w:val="009B173F"/>
    <w:rsid w:val="009C3496"/>
    <w:rsid w:val="009C35F0"/>
    <w:rsid w:val="009F6751"/>
    <w:rsid w:val="00A85DBB"/>
    <w:rsid w:val="00C443C9"/>
    <w:rsid w:val="00CD2E99"/>
    <w:rsid w:val="00D51957"/>
    <w:rsid w:val="00E3795D"/>
    <w:rsid w:val="00E37DCC"/>
    <w:rsid w:val="00E90D40"/>
    <w:rsid w:val="00EC749B"/>
    <w:rsid w:val="00F20BC7"/>
    <w:rsid w:val="00F27086"/>
    <w:rsid w:val="00F341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305A5C-00C5-44CC-B967-36C1FBB9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00"/>
    </w:pPr>
    <w:rPr>
      <w:color w:val="00000A"/>
      <w:sz w:val="24"/>
    </w:r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Ancladenotaalpie">
    <w:name w:val="Ancla de nota al pie"/>
    <w:basedOn w:val="DescripcinCar"/>
    <w:rPr>
      <w:vertAlign w:val="superscript"/>
    </w:rPr>
  </w:style>
  <w:style w:type="character" w:customStyle="1" w:styleId="EnlacedeInternet">
    <w:name w:val="Enlace de Internet"/>
    <w:basedOn w:val="Descripcin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styleId="Lista">
    <w:name w:val="List"/>
    <w:basedOn w:val="Textoindependiente"/>
    <w:rPr>
      <w:rFonts w:cs="Free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Fecha">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styleId="Encabezado">
    <w:name w:val="header"/>
    <w:basedOn w:val="Normal"/>
    <w:link w:val="EncabezadoCar"/>
    <w:unhideWhenUsed/>
    <w:rsid w:val="00331285"/>
    <w:pPr>
      <w:tabs>
        <w:tab w:val="center" w:pos="4252"/>
        <w:tab w:val="right" w:pos="8504"/>
      </w:tabs>
      <w:spacing w:after="0"/>
    </w:pPr>
  </w:style>
  <w:style w:type="character" w:customStyle="1" w:styleId="EncabezadoCar">
    <w:name w:val="Encabezado Car"/>
    <w:basedOn w:val="Fuentedeprrafopredeter"/>
    <w:link w:val="Encabezado"/>
    <w:rsid w:val="00331285"/>
    <w:rPr>
      <w:color w:val="00000A"/>
      <w:sz w:val="24"/>
    </w:rPr>
  </w:style>
  <w:style w:type="paragraph" w:styleId="Piedepgina">
    <w:name w:val="footer"/>
    <w:basedOn w:val="Normal"/>
    <w:link w:val="PiedepginaCar"/>
    <w:unhideWhenUsed/>
    <w:rsid w:val="00331285"/>
    <w:pPr>
      <w:tabs>
        <w:tab w:val="center" w:pos="4252"/>
        <w:tab w:val="right" w:pos="8504"/>
      </w:tabs>
      <w:spacing w:after="0"/>
    </w:pPr>
  </w:style>
  <w:style w:type="character" w:customStyle="1" w:styleId="PiedepginaCar">
    <w:name w:val="Pie de página Car"/>
    <w:basedOn w:val="Fuentedeprrafopredeter"/>
    <w:link w:val="Piedepgina"/>
    <w:rsid w:val="00331285"/>
    <w:rPr>
      <w:color w:val="00000A"/>
      <w:sz w:val="24"/>
    </w:rPr>
  </w:style>
  <w:style w:type="table" w:styleId="Tablaconcuadrcula">
    <w:name w:val="Table Grid"/>
    <w:basedOn w:val="Tablanormal"/>
    <w:rsid w:val="00E37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rsid w:val="00021B0B"/>
    <w:pPr>
      <w:ind w:left="720"/>
      <w:contextualSpacing/>
    </w:pPr>
  </w:style>
  <w:style w:type="character" w:styleId="Refdenotaalpie">
    <w:name w:val="footnote reference"/>
    <w:basedOn w:val="Fuentedeprrafopredeter"/>
    <w:semiHidden/>
    <w:unhideWhenUsed/>
    <w:rsid w:val="001A4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adridauditamadrid.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madridauditamadrid.org" TargetMode="External"/><Relationship Id="rId1" Type="http://schemas.openxmlformats.org/officeDocument/2006/relationships/hyperlink" Target="mailto:auditauser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900" b="1" baseline="0">
                <a:solidFill>
                  <a:sysClr val="windowText" lastClr="000000"/>
                </a:solidFill>
              </a:rPr>
              <a:t>Evolución del Presupuesto adjudicado a los Talleres de Formación en el distrito de Usera y al Deuda del Ayuntamiento de Madrid (2009-2016)</a:t>
            </a:r>
          </a:p>
        </c:rich>
      </c:tx>
      <c:layout>
        <c:manualLayout>
          <c:xMode val="edge"/>
          <c:yMode val="edge"/>
          <c:x val="0.13687418069433713"/>
          <c:y val="3.7140204271123491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4129040099315044E-2"/>
          <c:y val="0.14146703806870942"/>
          <c:w val="0.84850046445407112"/>
          <c:h val="0.72452233164447755"/>
        </c:manualLayout>
      </c:layout>
      <c:lineChart>
        <c:grouping val="standard"/>
        <c:varyColors val="0"/>
        <c:ser>
          <c:idx val="0"/>
          <c:order val="0"/>
          <c:tx>
            <c:strRef>
              <c:f>Hoja1!$B$1</c:f>
              <c:strCache>
                <c:ptCount val="1"/>
                <c:pt idx="0">
                  <c:v>Presupuesto adjudicado (En euros)</c:v>
                </c:pt>
              </c:strCache>
            </c:strRef>
          </c:tx>
          <c:spPr>
            <a:ln w="28575" cap="rnd">
              <a:solidFill>
                <a:srgbClr val="C00000"/>
              </a:solidFill>
              <a:round/>
            </a:ln>
            <a:effectLst/>
          </c:spPr>
          <c:marker>
            <c:symbol val="none"/>
          </c:marker>
          <c:dLbls>
            <c:dLbl>
              <c:idx val="0"/>
              <c:layout>
                <c:manualLayout>
                  <c:x val="-2.3919645105001334E-2"/>
                  <c:y val="-4.67130188113672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68-445B-89E0-4020690C7FF2}"/>
                </c:ext>
              </c:extLst>
            </c:dLbl>
            <c:dLbl>
              <c:idx val="1"/>
              <c:delete val="1"/>
              <c:extLst>
                <c:ext xmlns:c15="http://schemas.microsoft.com/office/drawing/2012/chart" uri="{CE6537A1-D6FC-4f65-9D91-7224C49458BB}"/>
                <c:ext xmlns:c16="http://schemas.microsoft.com/office/drawing/2014/chart" uri="{C3380CC4-5D6E-409C-BE32-E72D297353CC}">
                  <c16:uniqueId val="{00000001-CE68-445B-89E0-4020690C7FF2}"/>
                </c:ext>
              </c:extLst>
            </c:dLbl>
            <c:dLbl>
              <c:idx val="2"/>
              <c:delete val="1"/>
              <c:extLst>
                <c:ext xmlns:c15="http://schemas.microsoft.com/office/drawing/2012/chart" uri="{CE6537A1-D6FC-4f65-9D91-7224C49458BB}"/>
                <c:ext xmlns:c16="http://schemas.microsoft.com/office/drawing/2014/chart" uri="{C3380CC4-5D6E-409C-BE32-E72D297353CC}">
                  <c16:uniqueId val="{00000002-CE68-445B-89E0-4020690C7FF2}"/>
                </c:ext>
              </c:extLst>
            </c:dLbl>
            <c:dLbl>
              <c:idx val="3"/>
              <c:delete val="1"/>
              <c:extLst>
                <c:ext xmlns:c15="http://schemas.microsoft.com/office/drawing/2012/chart" uri="{CE6537A1-D6FC-4f65-9D91-7224C49458BB}"/>
                <c:ext xmlns:c16="http://schemas.microsoft.com/office/drawing/2014/chart" uri="{C3380CC4-5D6E-409C-BE32-E72D297353CC}">
                  <c16:uniqueId val="{00000003-CE68-445B-89E0-4020690C7FF2}"/>
                </c:ext>
              </c:extLst>
            </c:dLbl>
            <c:dLbl>
              <c:idx val="4"/>
              <c:layout>
                <c:manualLayout>
                  <c:x val="-2.832978843465956E-2"/>
                  <c:y val="-5.78550800927042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E68-445B-89E0-4020690C7FF2}"/>
                </c:ext>
              </c:extLst>
            </c:dLbl>
            <c:dLbl>
              <c:idx val="5"/>
              <c:layout>
                <c:manualLayout>
                  <c:x val="-2.832978843465956E-2"/>
                  <c:y val="-5.4141059665592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E68-445B-89E0-4020690C7FF2}"/>
                </c:ext>
              </c:extLst>
            </c:dLbl>
            <c:dLbl>
              <c:idx val="6"/>
              <c:layout>
                <c:manualLayout>
                  <c:x val="-3.0534860099488668E-2"/>
                  <c:y val="-5.0427039238479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E68-445B-89E0-4020690C7FF2}"/>
                </c:ext>
              </c:extLst>
            </c:dLbl>
            <c:spPr>
              <a:noFill/>
              <a:ln>
                <a:noFill/>
              </a:ln>
              <a:effectLst/>
            </c:spPr>
            <c:txPr>
              <a:bodyPr rot="0" spcFirstLastPara="1" vertOverflow="ellipsis" vert="horz" wrap="square" lIns="38100" tIns="19050" rIns="38100" bIns="19050" anchor="ctr" anchorCtr="1">
                <a:spAutoFit/>
              </a:bodyPr>
              <a:lstStyle/>
              <a:p>
                <a:pPr>
                  <a:defRPr sz="75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Hoja1!$B$2:$B$8</c:f>
              <c:numCache>
                <c:formatCode>#,##0</c:formatCode>
                <c:ptCount val="7"/>
                <c:pt idx="0">
                  <c:v>553580.85</c:v>
                </c:pt>
                <c:pt idx="1">
                  <c:v>538283.99</c:v>
                </c:pt>
                <c:pt idx="2">
                  <c:v>389192.47</c:v>
                </c:pt>
                <c:pt idx="3">
                  <c:v>165613.15</c:v>
                </c:pt>
                <c:pt idx="4">
                  <c:v>142318.57999999999</c:v>
                </c:pt>
                <c:pt idx="5">
                  <c:v>157452.34</c:v>
                </c:pt>
                <c:pt idx="6">
                  <c:v>171677.22</c:v>
                </c:pt>
              </c:numCache>
            </c:numRef>
          </c:val>
          <c:smooth val="0"/>
          <c:extLst>
            <c:ext xmlns:c16="http://schemas.microsoft.com/office/drawing/2014/chart" uri="{C3380CC4-5D6E-409C-BE32-E72D297353CC}">
              <c16:uniqueId val="{00000007-CE68-445B-89E0-4020690C7FF2}"/>
            </c:ext>
          </c:extLst>
        </c:ser>
        <c:dLbls>
          <c:showLegendKey val="0"/>
          <c:showVal val="0"/>
          <c:showCatName val="0"/>
          <c:showSerName val="0"/>
          <c:showPercent val="0"/>
          <c:showBubbleSize val="0"/>
        </c:dLbls>
        <c:marker val="1"/>
        <c:smooth val="0"/>
        <c:axId val="405934672"/>
        <c:axId val="405940576"/>
      </c:lineChart>
      <c:lineChart>
        <c:grouping val="standard"/>
        <c:varyColors val="0"/>
        <c:ser>
          <c:idx val="1"/>
          <c:order val="1"/>
          <c:tx>
            <c:strRef>
              <c:f>Hoja1!$C$1</c:f>
              <c:strCache>
                <c:ptCount val="1"/>
                <c:pt idx="0">
                  <c:v>Deuda del Ayuntamiento (En millones de euros)</c:v>
                </c:pt>
              </c:strCache>
            </c:strRef>
          </c:tx>
          <c:spPr>
            <a:ln w="28575" cap="rnd">
              <a:solidFill>
                <a:schemeClr val="accent5">
                  <a:lumMod val="50000"/>
                </a:schemeClr>
              </a:solidFill>
              <a:round/>
            </a:ln>
            <a:effectLst/>
          </c:spPr>
          <c:marker>
            <c:symbol val="none"/>
          </c:marker>
          <c:dLbls>
            <c:dLbl>
              <c:idx val="0"/>
              <c:layout>
                <c:manualLayout>
                  <c:x val="-1.7745444443479856E-2"/>
                  <c:y val="-5.0427039238479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E68-445B-89E0-4020690C7FF2}"/>
                </c:ext>
              </c:extLst>
            </c:dLbl>
            <c:dLbl>
              <c:idx val="1"/>
              <c:delete val="1"/>
              <c:extLst>
                <c:ext xmlns:c15="http://schemas.microsoft.com/office/drawing/2012/chart" uri="{CE6537A1-D6FC-4f65-9D91-7224C49458BB}"/>
                <c:ext xmlns:c16="http://schemas.microsoft.com/office/drawing/2014/chart" uri="{C3380CC4-5D6E-409C-BE32-E72D297353CC}">
                  <c16:uniqueId val="{00000009-CE68-445B-89E0-4020690C7FF2}"/>
                </c:ext>
              </c:extLst>
            </c:dLbl>
            <c:dLbl>
              <c:idx val="2"/>
              <c:delete val="1"/>
              <c:extLst>
                <c:ext xmlns:c15="http://schemas.microsoft.com/office/drawing/2012/chart" uri="{CE6537A1-D6FC-4f65-9D91-7224C49458BB}"/>
                <c:ext xmlns:c16="http://schemas.microsoft.com/office/drawing/2014/chart" uri="{C3380CC4-5D6E-409C-BE32-E72D297353CC}">
                  <c16:uniqueId val="{0000000A-CE68-445B-89E0-4020690C7FF2}"/>
                </c:ext>
              </c:extLst>
            </c:dLbl>
            <c:dLbl>
              <c:idx val="3"/>
              <c:layout>
                <c:manualLayout>
                  <c:x val="-3.0975874432454489E-2"/>
                  <c:y val="-4.67130188113672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E68-445B-89E0-4020690C7FF2}"/>
                </c:ext>
              </c:extLst>
            </c:dLbl>
            <c:dLbl>
              <c:idx val="4"/>
              <c:layout>
                <c:manualLayout>
                  <c:x val="-2.8770802767625302E-2"/>
                  <c:y val="-4.67130188113672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E68-445B-89E0-4020690C7FF2}"/>
                </c:ext>
              </c:extLst>
            </c:dLbl>
            <c:dLbl>
              <c:idx val="5"/>
              <c:layout>
                <c:manualLayout>
                  <c:x val="-2.6565731102796274E-2"/>
                  <c:y val="-5.0427039238479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E68-445B-89E0-4020690C7FF2}"/>
                </c:ext>
              </c:extLst>
            </c:dLbl>
            <c:dLbl>
              <c:idx val="6"/>
              <c:layout>
                <c:manualLayout>
                  <c:x val="-2.8770802767625381E-2"/>
                  <c:y val="-4.67130188113673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E68-445B-89E0-4020690C7FF2}"/>
                </c:ext>
              </c:extLst>
            </c:dLbl>
            <c:spPr>
              <a:noFill/>
              <a:ln>
                <a:noFill/>
              </a:ln>
              <a:effectLst/>
            </c:spPr>
            <c:txPr>
              <a:bodyPr rot="0" spcFirstLastPara="1" vertOverflow="ellipsis" vert="horz" wrap="square" lIns="38100" tIns="19050" rIns="38100" bIns="19050" anchor="ctr" anchorCtr="1">
                <a:spAutoFit/>
              </a:bodyPr>
              <a:lstStyle/>
              <a:p>
                <a:pPr>
                  <a:defRPr sz="75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Hoja1!$C$2:$C$8</c:f>
              <c:numCache>
                <c:formatCode>#,##0</c:formatCode>
                <c:ptCount val="7"/>
                <c:pt idx="0">
                  <c:v>6762</c:v>
                </c:pt>
                <c:pt idx="1">
                  <c:v>6453</c:v>
                </c:pt>
                <c:pt idx="2">
                  <c:v>6674</c:v>
                </c:pt>
                <c:pt idx="3">
                  <c:v>7733</c:v>
                </c:pt>
                <c:pt idx="4">
                  <c:v>7036</c:v>
                </c:pt>
                <c:pt idx="5">
                  <c:v>5936</c:v>
                </c:pt>
                <c:pt idx="6">
                  <c:v>4767</c:v>
                </c:pt>
              </c:numCache>
            </c:numRef>
          </c:val>
          <c:smooth val="0"/>
          <c:extLst>
            <c:ext xmlns:c16="http://schemas.microsoft.com/office/drawing/2014/chart" uri="{C3380CC4-5D6E-409C-BE32-E72D297353CC}">
              <c16:uniqueId val="{0000000F-CE68-445B-89E0-4020690C7FF2}"/>
            </c:ext>
          </c:extLst>
        </c:ser>
        <c:dLbls>
          <c:showLegendKey val="0"/>
          <c:showVal val="0"/>
          <c:showCatName val="0"/>
          <c:showSerName val="0"/>
          <c:showPercent val="0"/>
          <c:showBubbleSize val="0"/>
        </c:dLbls>
        <c:marker val="1"/>
        <c:smooth val="0"/>
        <c:axId val="405941560"/>
        <c:axId val="405938608"/>
      </c:lineChart>
      <c:catAx>
        <c:axId val="405934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s-ES"/>
          </a:p>
        </c:txPr>
        <c:crossAx val="405940576"/>
        <c:crosses val="autoZero"/>
        <c:auto val="1"/>
        <c:lblAlgn val="ctr"/>
        <c:lblOffset val="100"/>
        <c:tickLblSkip val="1"/>
        <c:noMultiLvlLbl val="0"/>
      </c:catAx>
      <c:valAx>
        <c:axId val="405940576"/>
        <c:scaling>
          <c:orientation val="minMax"/>
        </c:scaling>
        <c:delete val="0"/>
        <c:axPos val="l"/>
        <c:majorGridlines>
          <c:spPr>
            <a:ln w="317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s-ES"/>
          </a:p>
        </c:txPr>
        <c:crossAx val="405934672"/>
        <c:crossesAt val="1"/>
        <c:crossBetween val="midCat"/>
      </c:valAx>
      <c:valAx>
        <c:axId val="40593860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s-ES"/>
          </a:p>
        </c:txPr>
        <c:crossAx val="405941560"/>
        <c:crosses val="max"/>
        <c:crossBetween val="between"/>
      </c:valAx>
      <c:catAx>
        <c:axId val="405941560"/>
        <c:scaling>
          <c:orientation val="minMax"/>
        </c:scaling>
        <c:delete val="1"/>
        <c:axPos val="b"/>
        <c:numFmt formatCode="General" sourceLinked="1"/>
        <c:majorTickMark val="out"/>
        <c:minorTickMark val="none"/>
        <c:tickLblPos val="nextTo"/>
        <c:crossAx val="405938608"/>
        <c:crosses val="autoZero"/>
        <c:auto val="1"/>
        <c:lblAlgn val="ctr"/>
        <c:lblOffset val="100"/>
        <c:noMultiLvlLbl val="0"/>
      </c:catAx>
      <c:spPr>
        <a:noFill/>
        <a:ln>
          <a:noFill/>
        </a:ln>
        <a:effectLst/>
      </c:spPr>
    </c:plotArea>
    <c:legend>
      <c:legendPos val="b"/>
      <c:layout>
        <c:manualLayout>
          <c:xMode val="edge"/>
          <c:yMode val="edge"/>
          <c:x val="8.1109654567710465E-2"/>
          <c:y val="0.93809722252684991"/>
          <c:w val="0.85320820564463618"/>
          <c:h val="5.8188757046037771E-2"/>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6350" cap="flat" cmpd="sng" algn="ctr">
      <a:solidFill>
        <a:schemeClr val="accent1"/>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50" b="1" baseline="0">
                <a:solidFill>
                  <a:schemeClr val="tx1"/>
                </a:solidFill>
              </a:rPr>
              <a:t>Ranking del número de cursos/10.000 habitantes en los 21 distritos de Madrid </a:t>
            </a:r>
          </a:p>
          <a:p>
            <a:pPr>
              <a:defRPr/>
            </a:pPr>
            <a:r>
              <a:rPr lang="en-US" sz="800" b="0" baseline="0">
                <a:solidFill>
                  <a:schemeClr val="tx1"/>
                </a:solidFill>
              </a:rPr>
              <a:t>(Curso 2014-2015)</a:t>
            </a:r>
          </a:p>
        </c:rich>
      </c:tx>
      <c:layout>
        <c:manualLayout>
          <c:xMode val="edge"/>
          <c:yMode val="edge"/>
          <c:x val="0.1370861930070281"/>
          <c:y val="2.3521110196401268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123641851016489"/>
          <c:y val="7.6587246051680394E-2"/>
          <c:w val="0.7937265950325687"/>
          <c:h val="0.90210903244203922"/>
        </c:manualLayout>
      </c:layout>
      <c:bar3DChart>
        <c:barDir val="bar"/>
        <c:grouping val="clustered"/>
        <c:varyColors val="0"/>
        <c:ser>
          <c:idx val="0"/>
          <c:order val="0"/>
          <c:tx>
            <c:strRef>
              <c:f>Hoja1!$B$1</c:f>
              <c:strCache>
                <c:ptCount val="1"/>
                <c:pt idx="0">
                  <c:v>Talleres/10.000 habitantes</c:v>
                </c:pt>
              </c:strCache>
            </c:strRef>
          </c:tx>
          <c:spPr>
            <a:solidFill>
              <a:schemeClr val="accent1"/>
            </a:solidFill>
            <a:ln>
              <a:noFill/>
            </a:ln>
            <a:effectLst/>
            <a:sp3d/>
          </c:spPr>
          <c:invertIfNegative val="0"/>
          <c:dPt>
            <c:idx val="1"/>
            <c:invertIfNegative val="0"/>
            <c:bubble3D val="0"/>
            <c:spPr>
              <a:solidFill>
                <a:srgbClr val="C00000"/>
              </a:solidFill>
              <a:ln>
                <a:noFill/>
              </a:ln>
              <a:effectLst/>
              <a:sp3d/>
            </c:spPr>
            <c:extLst>
              <c:ext xmlns:c16="http://schemas.microsoft.com/office/drawing/2014/chart" uri="{C3380CC4-5D6E-409C-BE32-E72D297353CC}">
                <c16:uniqueId val="{00000001-587A-40F1-A163-B8A451B82BB7}"/>
              </c:ext>
            </c:extLst>
          </c:dPt>
          <c:dPt>
            <c:idx val="10"/>
            <c:invertIfNegative val="0"/>
            <c:bubble3D val="0"/>
            <c:spPr>
              <a:solidFill>
                <a:schemeClr val="accent6">
                  <a:lumMod val="75000"/>
                </a:schemeClr>
              </a:solidFill>
              <a:ln>
                <a:noFill/>
              </a:ln>
              <a:effectLst/>
              <a:sp3d/>
            </c:spPr>
            <c:extLst>
              <c:ext xmlns:c16="http://schemas.microsoft.com/office/drawing/2014/chart" uri="{C3380CC4-5D6E-409C-BE32-E72D297353CC}">
                <c16:uniqueId val="{00000003-587A-40F1-A163-B8A451B82BB7}"/>
              </c:ext>
            </c:extLst>
          </c:dPt>
          <c:dLbls>
            <c:dLbl>
              <c:idx val="1"/>
              <c:numFmt formatCode="#,##0.0" sourceLinked="0"/>
              <c:spPr>
                <a:noFill/>
                <a:ln>
                  <a:noFill/>
                </a:ln>
                <a:effectLst/>
              </c:spPr>
              <c:txPr>
                <a:bodyPr rot="0" spcFirstLastPara="1" vertOverflow="ellipsis" vert="horz" wrap="square" lIns="38100" tIns="19050" rIns="38100" bIns="19050" anchor="ctr" anchorCtr="1">
                  <a:spAutoFit/>
                </a:bodyPr>
                <a:lstStyle/>
                <a:p>
                  <a:pPr>
                    <a:defRPr sz="750" b="1" i="0" u="none" strike="noStrike" kern="1200" baseline="0">
                      <a:solidFill>
                        <a:srgbClr val="C00000"/>
                      </a:solidFill>
                      <a:latin typeface="+mn-lt"/>
                      <a:ea typeface="+mn-ea"/>
                      <a:cs typeface="+mn-cs"/>
                    </a:defRPr>
                  </a:pPr>
                  <a:endParaRPr lang="es-ES"/>
                </a:p>
              </c:txPr>
              <c:showLegendKey val="0"/>
              <c:showVal val="1"/>
              <c:showCatName val="0"/>
              <c:showSerName val="0"/>
              <c:showPercent val="0"/>
              <c:showBubbleSize val="0"/>
              <c:extLst>
                <c:ext xmlns:c16="http://schemas.microsoft.com/office/drawing/2014/chart" uri="{C3380CC4-5D6E-409C-BE32-E72D297353CC}">
                  <c16:uniqueId val="{00000001-587A-40F1-A163-B8A451B82BB7}"/>
                </c:ext>
              </c:extLst>
            </c:dLbl>
            <c:dLbl>
              <c:idx val="10"/>
              <c:numFmt formatCode="#,##0.0" sourceLinked="0"/>
              <c:spPr>
                <a:noFill/>
                <a:ln>
                  <a:noFill/>
                </a:ln>
                <a:effectLst/>
              </c:spPr>
              <c:txPr>
                <a:bodyPr rot="0" spcFirstLastPara="1" vertOverflow="ellipsis" vert="horz" wrap="square" lIns="38100" tIns="19050" rIns="38100" bIns="19050" anchor="ctr" anchorCtr="1">
                  <a:spAutoFit/>
                </a:bodyPr>
                <a:lstStyle/>
                <a:p>
                  <a:pPr>
                    <a:defRPr sz="750" b="1" i="0" u="none" strike="noStrike" kern="1200" baseline="0">
                      <a:solidFill>
                        <a:schemeClr val="accent6">
                          <a:lumMod val="75000"/>
                        </a:schemeClr>
                      </a:solidFill>
                      <a:latin typeface="+mn-lt"/>
                      <a:ea typeface="+mn-ea"/>
                      <a:cs typeface="+mn-cs"/>
                    </a:defRPr>
                  </a:pPr>
                  <a:endParaRPr lang="es-ES"/>
                </a:p>
              </c:txPr>
              <c:showLegendKey val="0"/>
              <c:showVal val="1"/>
              <c:showCatName val="0"/>
              <c:showSerName val="0"/>
              <c:showPercent val="0"/>
              <c:showBubbleSize val="0"/>
              <c:extLst>
                <c:ext xmlns:c16="http://schemas.microsoft.com/office/drawing/2014/chart" uri="{C3380CC4-5D6E-409C-BE32-E72D297353CC}">
                  <c16:uniqueId val="{00000003-587A-40F1-A163-B8A451B82BB7}"/>
                </c:ext>
              </c:extLst>
            </c:dLbl>
            <c:dLbl>
              <c:idx val="21"/>
              <c:numFmt formatCode="#,##0.0" sourceLinked="0"/>
              <c:spPr>
                <a:noFill/>
                <a:ln>
                  <a:noFill/>
                </a:ln>
                <a:effectLst/>
              </c:spPr>
              <c:txPr>
                <a:bodyPr rot="0" spcFirstLastPara="1" vertOverflow="ellipsis" vert="horz" wrap="square" lIns="38100" tIns="19050" rIns="38100" bIns="19050" anchor="ctr" anchorCtr="1">
                  <a:spAutoFit/>
                </a:bodyPr>
                <a:lstStyle/>
                <a:p>
                  <a:pPr>
                    <a:defRPr sz="750" b="1" i="0" u="none" strike="noStrike" kern="1200" baseline="0">
                      <a:solidFill>
                        <a:srgbClr val="C00000"/>
                      </a:solidFill>
                      <a:latin typeface="+mn-lt"/>
                      <a:ea typeface="+mn-ea"/>
                      <a:cs typeface="+mn-cs"/>
                    </a:defRPr>
                  </a:pPr>
                  <a:endParaRPr lang="es-ES"/>
                </a:p>
              </c:txPr>
              <c:showLegendKey val="0"/>
              <c:showVal val="1"/>
              <c:showCatName val="0"/>
              <c:showSerName val="0"/>
              <c:showPercent val="0"/>
              <c:showBubbleSize val="0"/>
              <c:extLst>
                <c:ext xmlns:c16="http://schemas.microsoft.com/office/drawing/2014/chart" uri="{C3380CC4-5D6E-409C-BE32-E72D297353CC}">
                  <c16:uniqueId val="{00000004-587A-40F1-A163-B8A451B82BB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75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Hoja1!$A$2:$A$23</c:f>
              <c:strCache>
                <c:ptCount val="22"/>
                <c:pt idx="0">
                  <c:v>Chamberí </c:v>
                </c:pt>
                <c:pt idx="1">
                  <c:v>Usera</c:v>
                </c:pt>
                <c:pt idx="2">
                  <c:v>Puente de Vallecas </c:v>
                </c:pt>
                <c:pt idx="3">
                  <c:v>Ciudad Lineal </c:v>
                </c:pt>
                <c:pt idx="4">
                  <c:v>Centro </c:v>
                </c:pt>
                <c:pt idx="5">
                  <c:v>Hortaleza</c:v>
                </c:pt>
                <c:pt idx="6">
                  <c:v>Carabanchel </c:v>
                </c:pt>
                <c:pt idx="7">
                  <c:v>Retiro </c:v>
                </c:pt>
                <c:pt idx="8">
                  <c:v>Villa de Vallecas</c:v>
                </c:pt>
                <c:pt idx="9">
                  <c:v>Fuencarral-El Pardo</c:v>
                </c:pt>
                <c:pt idx="10">
                  <c:v>Todos los Distritos</c:v>
                </c:pt>
                <c:pt idx="11">
                  <c:v>Tetuán</c:v>
                </c:pt>
                <c:pt idx="12">
                  <c:v>Salamanca</c:v>
                </c:pt>
                <c:pt idx="13">
                  <c:v>Vicálvaro </c:v>
                </c:pt>
                <c:pt idx="14">
                  <c:v>San Blas-Canillejas</c:v>
                </c:pt>
                <c:pt idx="15">
                  <c:v>Arganzuela</c:v>
                </c:pt>
                <c:pt idx="16">
                  <c:v>Moratalaz </c:v>
                </c:pt>
                <c:pt idx="17">
                  <c:v>Moncloa-Aravaca </c:v>
                </c:pt>
                <c:pt idx="18">
                  <c:v>Latina </c:v>
                </c:pt>
                <c:pt idx="19">
                  <c:v>Chamartín</c:v>
                </c:pt>
                <c:pt idx="20">
                  <c:v>Villaverde</c:v>
                </c:pt>
                <c:pt idx="21">
                  <c:v>Barajas</c:v>
                </c:pt>
              </c:strCache>
            </c:strRef>
          </c:cat>
          <c:val>
            <c:numRef>
              <c:f>Hoja1!$B$2:$B$23</c:f>
              <c:numCache>
                <c:formatCode>#,##0.00</c:formatCode>
                <c:ptCount val="22"/>
                <c:pt idx="0">
                  <c:v>7.65</c:v>
                </c:pt>
                <c:pt idx="1">
                  <c:v>9.9499999999999993</c:v>
                </c:pt>
                <c:pt idx="2">
                  <c:v>9.9700000000000006</c:v>
                </c:pt>
                <c:pt idx="3">
                  <c:v>10.31</c:v>
                </c:pt>
                <c:pt idx="4">
                  <c:v>10.35</c:v>
                </c:pt>
                <c:pt idx="5">
                  <c:v>10.36</c:v>
                </c:pt>
                <c:pt idx="6">
                  <c:v>10.63</c:v>
                </c:pt>
                <c:pt idx="7">
                  <c:v>10.7</c:v>
                </c:pt>
                <c:pt idx="8">
                  <c:v>11.74</c:v>
                </c:pt>
                <c:pt idx="9">
                  <c:v>14.01</c:v>
                </c:pt>
                <c:pt idx="10">
                  <c:v>15.441564307214172</c:v>
                </c:pt>
                <c:pt idx="11">
                  <c:v>16.78</c:v>
                </c:pt>
                <c:pt idx="12">
                  <c:v>16.989999999999998</c:v>
                </c:pt>
                <c:pt idx="13">
                  <c:v>17.350000000000001</c:v>
                </c:pt>
                <c:pt idx="14">
                  <c:v>18.52</c:v>
                </c:pt>
                <c:pt idx="15">
                  <c:v>18.86</c:v>
                </c:pt>
                <c:pt idx="16">
                  <c:v>21.52</c:v>
                </c:pt>
                <c:pt idx="17">
                  <c:v>22.12</c:v>
                </c:pt>
                <c:pt idx="18">
                  <c:v>22.48</c:v>
                </c:pt>
                <c:pt idx="19">
                  <c:v>23.06</c:v>
                </c:pt>
                <c:pt idx="20">
                  <c:v>23.51</c:v>
                </c:pt>
                <c:pt idx="21">
                  <c:v>44.75</c:v>
                </c:pt>
              </c:numCache>
            </c:numRef>
          </c:val>
          <c:extLst>
            <c:ext xmlns:c16="http://schemas.microsoft.com/office/drawing/2014/chart" uri="{C3380CC4-5D6E-409C-BE32-E72D297353CC}">
              <c16:uniqueId val="{00000005-587A-40F1-A163-B8A451B82BB7}"/>
            </c:ext>
          </c:extLst>
        </c:ser>
        <c:dLbls>
          <c:showLegendKey val="0"/>
          <c:showVal val="1"/>
          <c:showCatName val="0"/>
          <c:showSerName val="0"/>
          <c:showPercent val="0"/>
          <c:showBubbleSize val="0"/>
        </c:dLbls>
        <c:gapWidth val="150"/>
        <c:shape val="box"/>
        <c:axId val="462965776"/>
        <c:axId val="462968728"/>
        <c:axId val="0"/>
      </c:bar3DChart>
      <c:catAx>
        <c:axId val="4629657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ES"/>
          </a:p>
        </c:txPr>
        <c:crossAx val="462968728"/>
        <c:crosses val="autoZero"/>
        <c:auto val="1"/>
        <c:lblAlgn val="ctr"/>
        <c:lblOffset val="100"/>
        <c:noMultiLvlLbl val="0"/>
      </c:catAx>
      <c:valAx>
        <c:axId val="462968728"/>
        <c:scaling>
          <c:orientation val="minMax"/>
        </c:scaling>
        <c:delete val="1"/>
        <c:axPos val="b"/>
        <c:numFmt formatCode="#,##0.00" sourceLinked="1"/>
        <c:majorTickMark val="none"/>
        <c:minorTickMark val="none"/>
        <c:tickLblPos val="nextTo"/>
        <c:crossAx val="462965776"/>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accent1"/>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1000" b="1" baseline="0">
                <a:solidFill>
                  <a:sysClr val="windowText" lastClr="000000"/>
                </a:solidFill>
              </a:rPr>
              <a:t>Nº de Cursos y Talleres impartidos en el distrito de Usera</a:t>
            </a:r>
          </a:p>
          <a:p>
            <a:pPr>
              <a:defRPr/>
            </a:pPr>
            <a:r>
              <a:rPr lang="en-US" sz="800" b="0" baseline="0">
                <a:solidFill>
                  <a:sysClr val="windowText" lastClr="000000"/>
                </a:solidFill>
              </a:rPr>
              <a:t>(Curso 2014-2015)</a:t>
            </a:r>
          </a:p>
        </c:rich>
      </c:tx>
      <c:layout>
        <c:manualLayout>
          <c:xMode val="edge"/>
          <c:yMode val="edge"/>
          <c:x val="0.2062441673957422"/>
          <c:y val="3.968253968253968E-3"/>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0925925925925923E-2"/>
          <c:y val="0.12289682539682538"/>
          <c:w val="0.88194444444444442"/>
          <c:h val="0.79241376077990255"/>
        </c:manualLayout>
      </c:layout>
      <c:bar3DChart>
        <c:barDir val="col"/>
        <c:grouping val="clustered"/>
        <c:varyColors val="0"/>
        <c:ser>
          <c:idx val="0"/>
          <c:order val="0"/>
          <c:tx>
            <c:strRef>
              <c:f>Hoja1!$B$1</c:f>
              <c:strCache>
                <c:ptCount val="1"/>
                <c:pt idx="0">
                  <c:v>Nº de Cursos y Talleres impartidos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Pt>
            <c:idx val="0"/>
            <c:invertIfNegative val="0"/>
            <c:bubble3D val="0"/>
            <c:spPr>
              <a:solidFill>
                <a:schemeClr val="accent1">
                  <a:lumMod val="75000"/>
                </a:schemeClr>
              </a:soli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1-39F3-43B8-BFDA-5E7F200A61D6}"/>
              </c:ext>
            </c:extLst>
          </c:dPt>
          <c:dPt>
            <c:idx val="1"/>
            <c:invertIfNegative val="0"/>
            <c:bubble3D val="0"/>
            <c:spPr>
              <a:solidFill>
                <a:schemeClr val="accent1">
                  <a:lumMod val="75000"/>
                </a:schemeClr>
              </a:soli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3-39F3-43B8-BFDA-5E7F200A61D6}"/>
              </c:ext>
            </c:extLst>
          </c:dPt>
          <c:dPt>
            <c:idx val="2"/>
            <c:invertIfNegative val="0"/>
            <c:bubble3D val="0"/>
            <c:spPr>
              <a:solidFill>
                <a:schemeClr val="accent1">
                  <a:lumMod val="75000"/>
                </a:schemeClr>
              </a:solidFill>
              <a:ln w="9525" cap="flat" cmpd="sng" algn="ctr">
                <a:solidFill>
                  <a:schemeClr val="accent1">
                    <a:shade val="95000"/>
                  </a:schemeClr>
                </a:solidFill>
                <a:round/>
              </a:ln>
              <a:effectLst/>
              <a:sp3d contourW="9525">
                <a:contourClr>
                  <a:schemeClr val="accent1">
                    <a:shade val="95000"/>
                  </a:schemeClr>
                </a:contourClr>
              </a:sp3d>
            </c:spPr>
            <c:extLst>
              <c:ext xmlns:c16="http://schemas.microsoft.com/office/drawing/2014/chart" uri="{C3380CC4-5D6E-409C-BE32-E72D297353CC}">
                <c16:uniqueId val="{00000005-39F3-43B8-BFDA-5E7F200A61D6}"/>
              </c:ext>
            </c:extLst>
          </c:dPt>
          <c:dLbls>
            <c:dLbl>
              <c:idx val="0"/>
              <c:layout>
                <c:manualLayout>
                  <c:x val="2.0158750157490236E-2"/>
                  <c:y val="-5.94243268337975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9F3-43B8-BFDA-5E7F200A61D6}"/>
                </c:ext>
              </c:extLst>
            </c:dLbl>
            <c:dLbl>
              <c:idx val="1"/>
              <c:layout>
                <c:manualLayout>
                  <c:x val="1.7638906387803955E-2"/>
                  <c:y val="-5.92383219693234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9F3-43B8-BFDA-5E7F200A61D6}"/>
                </c:ext>
              </c:extLst>
            </c:dLbl>
            <c:dLbl>
              <c:idx val="2"/>
              <c:layout>
                <c:manualLayout>
                  <c:x val="2.2678593927176516E-2"/>
                  <c:y val="-5.9424326833797586E-2"/>
                </c:manualLayout>
              </c:layout>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rgbClr val="C00000"/>
                      </a:solidFill>
                      <a:latin typeface="+mn-lt"/>
                      <a:ea typeface="+mn-ea"/>
                      <a:cs typeface="+mn-cs"/>
                    </a:defRPr>
                  </a:pPr>
                  <a:endParaRPr lang="es-E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9F3-43B8-BFDA-5E7F200A61D6}"/>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Hoja1!$A$2:$A$4</c:f>
              <c:strCache>
                <c:ptCount val="3"/>
                <c:pt idx="0">
                  <c:v>Adquisición de conocimientos</c:v>
                </c:pt>
                <c:pt idx="1">
                  <c:v>Adquisición de destrezas</c:v>
                </c:pt>
                <c:pt idx="2">
                  <c:v>Actividad corporal</c:v>
                </c:pt>
              </c:strCache>
            </c:strRef>
          </c:cat>
          <c:val>
            <c:numRef>
              <c:f>Hoja1!$B$2:$B$4</c:f>
              <c:numCache>
                <c:formatCode>General</c:formatCode>
                <c:ptCount val="3"/>
                <c:pt idx="0">
                  <c:v>25</c:v>
                </c:pt>
                <c:pt idx="1">
                  <c:v>23</c:v>
                </c:pt>
                <c:pt idx="2">
                  <c:v>85</c:v>
                </c:pt>
              </c:numCache>
            </c:numRef>
          </c:val>
          <c:extLst>
            <c:ext xmlns:c16="http://schemas.microsoft.com/office/drawing/2014/chart" uri="{C3380CC4-5D6E-409C-BE32-E72D297353CC}">
              <c16:uniqueId val="{00000006-39F3-43B8-BFDA-5E7F200A61D6}"/>
            </c:ext>
          </c:extLst>
        </c:ser>
        <c:dLbls>
          <c:showLegendKey val="0"/>
          <c:showVal val="1"/>
          <c:showCatName val="0"/>
          <c:showSerName val="0"/>
          <c:showPercent val="0"/>
          <c:showBubbleSize val="0"/>
        </c:dLbls>
        <c:gapWidth val="130"/>
        <c:shape val="box"/>
        <c:axId val="471332744"/>
        <c:axId val="471333400"/>
        <c:axId val="0"/>
      </c:bar3DChart>
      <c:catAx>
        <c:axId val="471332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s-ES"/>
          </a:p>
        </c:txPr>
        <c:crossAx val="471333400"/>
        <c:crosses val="autoZero"/>
        <c:auto val="1"/>
        <c:lblAlgn val="ctr"/>
        <c:lblOffset val="100"/>
        <c:noMultiLvlLbl val="0"/>
      </c:catAx>
      <c:valAx>
        <c:axId val="471333400"/>
        <c:scaling>
          <c:orientation val="minMax"/>
        </c:scaling>
        <c:delete val="1"/>
        <c:axPos val="l"/>
        <c:numFmt formatCode="General" sourceLinked="1"/>
        <c:majorTickMark val="none"/>
        <c:minorTickMark val="none"/>
        <c:tickLblPos val="nextTo"/>
        <c:crossAx val="471332744"/>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accent1"/>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5D43-6A6A-4D79-8F6A-45138C58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2003</Words>
  <Characters>11018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Contratación y Gestión de los Centros Culturales de Usera (Resumen Ejecutivo)</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Contratación y Gestión de los Centros Culturales de Usera (Resumen Ejecutivo)</dc:title>
  <dc:subject/>
  <dc:creator>Auditoría Ciudadana del Ayuntamiento de Madrid (http://madridauditamadrid.org) Grupo Auditor de Usera (auditausera@gmail.com)</dc:creator>
  <dc:description/>
  <cp:lastModifiedBy>Microsoft</cp:lastModifiedBy>
  <cp:revision>10</cp:revision>
  <cp:lastPrinted>2017-04-21T20:43:00Z</cp:lastPrinted>
  <dcterms:created xsi:type="dcterms:W3CDTF">2017-04-20T17:15:00Z</dcterms:created>
  <dcterms:modified xsi:type="dcterms:W3CDTF">2017-04-21T20:43:00Z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