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1F4E79"/>
          <w:sz w:val="44"/>
        </w:rPr>
        <w:t>Pacgate AI Law Firm 系统设计报告</w:t>
      </w:r>
    </w:p>
    <w:p>
      <w:pPr>
        <w:jc w:val="center"/>
      </w:pPr>
      <w:r>
        <w:rPr>
          <w:rFonts w:ascii="Arial" w:hAnsi="Arial" w:eastAsia="微软雅黑"/>
          <w:sz w:val="22"/>
        </w:rPr>
        <w:t>本地优先、客户面向、律师复核、负责人可监控的 AI Native 合规法律服务平台</w:t>
      </w:r>
    </w:p>
    <w:p>
      <w:pPr>
        <w:jc w:val="center"/>
      </w:pPr>
      <w:r>
        <w:rPr>
          <w:rFonts w:ascii="Arial" w:hAnsi="Arial" w:eastAsia="微软雅黑"/>
          <w:sz w:val="18"/>
        </w:rPr>
        <w:t>版本：v0.1 | 日期：2026-04-26 | 适用对象：Pacgate Law 第一阶段系统设计与 MVP 立项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1. 执行摘要</w:t>
      </w:r>
    </w:p>
    <w:p>
      <w:r>
        <w:rPr>
          <w:rFonts w:ascii="Arial" w:hAnsi="Arial" w:eastAsia="微软雅黑"/>
          <w:sz w:val="21"/>
        </w:rPr>
        <w:t>Pacgate AI Law Firm 系统的目标，是建设一套以合规法律服务为第一阶段产品线的 AI Native 律所系统。系统以本地服务器为核心运行环境，客户数据、合同文件、合规材料、知识库、审计日志和律师审批过程均默认留在本地；云端模型仅可在脱敏、抽象化、无客户数据的情况下用于复杂推理补强。</w:t>
      </w:r>
    </w:p>
    <w:p>
      <w:r>
        <w:rPr>
          <w:rFonts w:ascii="Arial" w:hAnsi="Arial" w:eastAsia="微软雅黑"/>
          <w:sz w:val="21"/>
        </w:rPr>
        <w:t>该系统不是单一聊天机器人，也不是单纯的律师 AI 助手，而是由客户入口、律师工作台、负责人后台、Matter 工作流、Agent Teams、本地 RAG 知识系统、人工审批和审计体系共同组成的法律服务交付平台。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第一阶段产品线：数据合规/数据跨境合规、AI 产品合规、Web3.0/RWA 产品合规。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第二阶段扩展：商业合同审查、投资协议审查、红线修改、谈判支持。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核心原则：客户数据不出本地；所有正式法律意见须经律师审批；所有 AI 结论应能追溯到材料、依据和审批记录。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2. 产品定位与第一阶段范围</w:t>
      </w:r>
    </w:p>
    <w:p>
      <w:r>
        <w:rPr>
          <w:rFonts w:ascii="Arial" w:hAnsi="Arial" w:eastAsia="微软雅黑"/>
          <w:sz w:val="21"/>
        </w:rPr>
        <w:t>第一阶段应将 Pacgate AI Law Firm 定位为“AI Native Compliance Delivery Platform”，即以合规项目交付为中心，而不是以合同审查或普通法律问答为中心。合规项目天然需要问卷、材料收集、规则映射、差距分析、整改建议、报告生成和持续监控，最适合用 agent workflow 产品化。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产品线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客户输入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核心交付件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适合自动化的环节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数据合规/数据跨境合规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业务场景、数据类型、出境路径、接收方、隐私政策、DPA/SCC/PIPIA 材料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数据处理活动盘点、跨境路径分析、合规差距报告、整改清单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智能问卷、数据流梳理、规则映射、差距分析、报告草稿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产品合规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产品说明、模型能力、训练/输入数据、输出场景、目标用户、上线地区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产品合规评估、备案/告知/内容安全 checklist、政策文本草案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风险分类、义务匹配、政策起草、证据材料整理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Web3.0/RWA 产品合规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白皮书、网站、token/RWA 结构、发行安排、用户地区、KYC/AML 方案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产品结构法律风险分析、多法域风险清单、营销合规建议、用户条款风险审查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权益属性分析、法域风险映射、营销声明审查、AML/KYC 检查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3. 三类用户与前端形态</w:t>
      </w:r>
    </w:p>
    <w:p>
      <w:r>
        <w:rPr>
          <w:rFonts w:ascii="Arial" w:hAnsi="Arial" w:eastAsia="微软雅黑"/>
          <w:sz w:val="21"/>
        </w:rPr>
        <w:t>系统应同时服务三类用户：客户、律师、律所负责人。三类用户共用同一个 Matter 核心，但看到不同的界面、权限和数据粒度。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用户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主要界面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核心任务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关键设计点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OpenClaw/飞书 Chat、邮件、Client Portal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提交材料、回答问卷、补充信息、查看进度、接收报告与整改清单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Chat 和邮件负责便捷入口，Portal 负责正式留痕与交付。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律师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Lawyer Review Console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审查 AI 输出、接管事项、修改报告、批准交付、标记 AI 错误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重点是原文、AI 结论、依据、修改建议、律师批注并排审查。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负责人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Owner/Admin 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监控项目进度、质量、产能、客户需求和服务趋势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默认看趋势和质量指标，敏感客户原文按权限控制。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4. 总体系统架构</w:t>
      </w:r>
    </w:p>
    <w:p>
      <w:pPr>
        <w:spacing w:after="160"/>
        <w:ind w:left="360"/>
      </w:pPr>
      <w:r>
        <w:rPr>
          <w:rFonts w:ascii="Menlo" w:hAnsi="Menlo" w:eastAsia="微软雅黑"/>
          <w:sz w:val="17"/>
        </w:rPr>
        <w:t>Client Channels</w:t>
        <w:br/>
        <w:t xml:space="preserve">  OpenClaw / Feishu Chat / Email / Client Portal</w:t>
        <w:br/>
        <w:t xml:space="preserve">        |</w:t>
        <w:br/>
        <w:t>Intake Gateway</w:t>
        <w:br/>
        <w:t xml:space="preserve">  identity, file intake, questionnaire, matter creation</w:t>
        <w:br/>
        <w:t xml:space="preserve">        |</w:t>
        <w:br/>
        <w:t>Matter Workflow Engine</w:t>
        <w:br/>
        <w:t xml:space="preserve">  state machine, queue, SLA, retry, escalation</w:t>
        <w:br/>
        <w:t xml:space="preserve">        |</w:t>
        <w:br/>
        <w:t>Agent Orchestrator</w:t>
        <w:br/>
        <w:t xml:space="preserve">  compliance teams, tool calls, handoff, guardrails</w:t>
        <w:br/>
        <w:t xml:space="preserve">        |</w:t>
        <w:br/>
        <w:t>Local Model Gateway</w:t>
        <w:br/>
        <w:t xml:space="preserve">  Qwen / DeepSeek / Gemma / embeddings / reranker</w:t>
        <w:br/>
        <w:t xml:space="preserve">        |</w:t>
        <w:br/>
        <w:t>Local Knowledge &amp; Document Layer</w:t>
        <w:br/>
        <w:t xml:space="preserve">  RAG authority registry, document vault, audit logs</w:t>
        <w:br/>
        <w:t xml:space="preserve">        |</w:t>
        <w:br/>
        <w:t>Human Review &amp; Delivery</w:t>
        <w:br/>
        <w:t xml:space="preserve">  lawyer approval, report package, client delivery</w:t>
      </w:r>
    </w:p>
    <w:p>
      <w:r>
        <w:rPr>
          <w:rFonts w:ascii="Arial" w:hAnsi="Arial" w:eastAsia="微软雅黑"/>
          <w:sz w:val="21"/>
        </w:rPr>
        <w:t>所有入口必须先进入 Intake Gateway，再被标准化为 Matter。客户入口不直接调用 agent。Matter Workflow Engine 是系统状态的唯一真相，Agent Orchestrator 只负责执行可追踪的步骤。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5. 本地优先部署与模型层</w:t>
      </w:r>
    </w:p>
    <w:p>
      <w:r>
        <w:rPr>
          <w:rFonts w:ascii="Arial" w:hAnsi="Arial" w:eastAsia="微软雅黑"/>
          <w:sz w:val="21"/>
        </w:rPr>
        <w:t>Pacgate 的硬约束是客户数据不得上传云端。因此，核心推理、文档解析、向量化、RAG、报告生成、审计日志和审批记录都应部署在本地服务器中。云端模型只能处理脱敏后的抽象法律问题或策略问题。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组件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推荐方案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主推理服务器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NVIDIA 本地服务器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适合高并发、大模型、vLLM、多 GPU 和长期生产运行。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开发/备用节点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Mac Studio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适合开发、文档处理、轻量并发、备用推理。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推理服务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vLLM + Ollama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vLLM 作为生产主服务，Ollama 用于开发测试和模型管理。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模型网关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Local Model Gateway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统一封装 Qwen、DeepSeek、Gemma、embedding 和 reranker，避免 agent 直接绑定模型。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云端补强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Sanitized Cloud Reasoning Bridge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仅发送脱敏、抽象化 issue packet，不发送客户文件或具体交易事实。</w:t>
            </w:r>
          </w:p>
        </w:tc>
      </w:tr>
    </w:tbl>
    <w:p/>
    <w:p>
      <w:pPr>
        <w:spacing w:after="160"/>
        <w:ind w:left="360"/>
      </w:pPr>
      <w:r>
        <w:rPr>
          <w:rFonts w:ascii="Menlo" w:hAnsi="Menlo" w:eastAsia="微软雅黑"/>
          <w:sz w:val="17"/>
        </w:rPr>
        <w:t>agent -&gt; local_model_gateway -&gt; local LLM</w:t>
        <w:br/>
        <w:t xml:space="preserve">                              -&gt; local embedding model</w:t>
        <w:br/>
        <w:t xml:space="preserve">                              -&gt; local reranker</w:t>
        <w:br/>
        <w:t xml:space="preserve">                              -&gt; optional sanitized cloud reasoning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6. Matter 数据模型与状态机</w:t>
      </w:r>
    </w:p>
    <w:p>
      <w:r>
        <w:rPr>
          <w:rFonts w:ascii="Arial" w:hAnsi="Arial" w:eastAsia="微软雅黑"/>
          <w:sz w:val="21"/>
        </w:rPr>
        <w:t>系统核心对象是 Matter，而不是 Conversation。聊天、邮件、文件上传和 Portal 提交都应归集到 Matter。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核心对象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客户主体、联系人、权限、行业标签、服务协议状态。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Matter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法律服务事项，承载产品线、状态、负责人、SLA、交付件。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Document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客户上传文件、解析文本、版本、权限、哈希和审计记录。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WorkflowRun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一次自动化流程运行，记录状态、输入、输出和失败原因。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AgentStep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每个 agent 步骤的输入、输出、模型、工具调用、耗时和复核状态。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RegulatoryObligation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合规义务条目，关联法规、适用范围、版本和来源。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GapItem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合规差距项，关联业务事实、规则依据和整改建议。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ReviewDecision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律师审批、驳回、修改、升级和批准记录。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DeliveryPackage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交付给客户的报告、清单、修改版和摘要。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AnalyticsEvent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用于负责人后台的结构化趋势数据。</w:t>
            </w:r>
          </w:p>
        </w:tc>
      </w:tr>
    </w:tbl>
    <w:p/>
    <w:p>
      <w:pPr>
        <w:spacing w:after="160"/>
        <w:ind w:left="360"/>
      </w:pPr>
      <w:r>
        <w:rPr>
          <w:rFonts w:ascii="Menlo" w:hAnsi="Menlo" w:eastAsia="微软雅黑"/>
          <w:sz w:val="17"/>
        </w:rPr>
        <w:t>submitted</w:t>
        <w:br/>
        <w:t>-&gt; intake_checking</w:t>
        <w:br/>
        <w:t>-&gt; needs_client_info</w:t>
        <w:br/>
        <w:t>-&gt; queued_for_ai</w:t>
        <w:br/>
        <w:t>-&gt; ai_processing</w:t>
        <w:br/>
        <w:t>-&gt; lawyer_review</w:t>
        <w:br/>
        <w:t>-&gt; needs_revision</w:t>
        <w:br/>
        <w:t>-&gt; approved</w:t>
        <w:br/>
        <w:t>-&gt; delivered</w:t>
        <w:br/>
        <w:t>-&gt; follow_up</w:t>
        <w:br/>
        <w:t>-&gt; closed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7. 第一阶段 Agent Teams 设计</w:t>
      </w:r>
    </w:p>
    <w:p>
      <w:r>
        <w:rPr>
          <w:rFonts w:ascii="Arial" w:hAnsi="Arial" w:eastAsia="微软雅黑"/>
          <w:sz w:val="21"/>
        </w:rPr>
        <w:t>第一阶段建议采用“通用合规工作流 + 产品线专业 agent”的结构。三类合规产品共用 Intake、RAG、Gap Analysis、Report、Human Review 等基础能力，但在规则映射和风险分类上使用不同专业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Agent Team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关键 Agent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主要输出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数据合规/跨境合规 Team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Data Intake、Data Mapping、Regulatory Mapping、Gap Analysis、Remediation、Report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数据流图、跨境路径分析、差距清单、整改路线图、报告草稿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产品合规 Team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Product Intake、Risk Classification、Obligation Mapping、Policy Drafting、Testing Evidence、Report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合规风险评估、备案/告知 checklist、政策文本草案、测试证据清单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Web3/RWA 合规 Team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Web3 Intake、Asset Classification、Jurisdiction Risk、AML/KYC、Marketing Claims、Terms Review、Report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产品结构风险分析、多法域风险清单、营销合规建议、条款风险审查</w:t>
            </w:r>
          </w:p>
        </w:tc>
      </w:tr>
    </w:tbl>
    <w:p/>
    <w:p>
      <w:r>
        <w:rPr>
          <w:rFonts w:ascii="Arial" w:hAnsi="Arial" w:eastAsia="微软雅黑"/>
          <w:sz w:val="21"/>
        </w:rPr>
        <w:t>第二阶段新增 Contract Review Team 与 Investment Agreement Team，复用同一 Matter、Workflow、RAG、Review 和 Delivery 基础设施。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8. RAG 与知识库治理</w:t>
      </w:r>
    </w:p>
    <w:p>
      <w:r>
        <w:rPr>
          <w:rFonts w:ascii="Arial" w:hAnsi="Arial" w:eastAsia="微软雅黑"/>
          <w:sz w:val="21"/>
        </w:rPr>
        <w:t>法律 RAG 不应只是向量检索。Pacgate 需要建立 Authority Registry，用于管理法规、监管规则、内部 checklist、历史项目经验、客户 playbook 和交付模板。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每个知识片段必须包含来源、版本日期、适用范围、更新时间、废止状态和引用优先级。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检索应采用关键词检索、向量检索、结构化过滤和 reranker 的混合模式。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没有命中可信来源时，agent 应输出“依据不足，需律师复核”，而不是自行补猜。</w:t>
      </w:r>
    </w:p>
    <w:p>
      <w:pPr>
        <w:pStyle w:val="ListBullet"/>
      </w:pPr>
      <w:r>
        <w:rPr>
          <w:rFonts w:ascii="Arial" w:hAnsi="Arial" w:eastAsia="微软雅黑"/>
          <w:sz w:val="21"/>
        </w:rPr>
        <w:t>负责人后台应能看到哪些规则被频繁引用、哪些合规缺口最高频、哪些知识源需要更新。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知识库类别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第一阶段优先级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PRC 数据合规法规库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最高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数据跨境规则与申报材料清单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最高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AI/算法/深度合成/生成式 AI 监管规则库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最高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Web3/RWA 多法域监管备忘录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内部合规 checklist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最高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历史项目整改建议库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客户行业 playbook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合同条款库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第二阶段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9. 人工审批、执业责任与安全边界</w:t>
      </w:r>
    </w:p>
    <w:p>
      <w:r>
        <w:rPr>
          <w:rFonts w:ascii="Arial" w:hAnsi="Arial" w:eastAsia="微软雅黑"/>
          <w:sz w:val="21"/>
        </w:rPr>
        <w:t>系统应把律师复核作为产品核心，而不是事后补丁。客户可看到 AI 处理进度，但正式法律分析报告、整改建议和协议修改版本原则上应经过律师审批后交付。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高风险事项、依据不足事项、监管敏感事项、重大交易事项必须进入律师或合伙人审批。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系统不得自动生成带有“正式法律意见”性质的客户最终版本，除非 ReviewDecision 已批准。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客户数据、文件、解析文本、向量库、日志、报告草稿和审批记录均默认保留在本地。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负责人后台默认展示聚合趋势；查看客户原文需额外权限和审计记录。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风险控制点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设计要求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客户数据出域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默认禁止；云端仅可接收脱敏抽象 issue packet。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日志泄露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日志不得记录完整客户文件正文；敏感字段脱敏。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向量库混租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按客户/事项进行权限隔离和 metadata 过滤。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邮件入口风险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附件病毒扫描、文件类型白名单、自动归档和权限标记。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幻觉依据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无 AuthorityMatch 不得输出确定性法律判断。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交付风险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未经 Human Review Gate 不得生成正式客户交付包。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10. 负责人后台与运营智能</w:t>
      </w:r>
    </w:p>
    <w:p>
      <w:r>
        <w:rPr>
          <w:rFonts w:ascii="Arial" w:hAnsi="Arial" w:eastAsia="微软雅黑"/>
          <w:sz w:val="21"/>
        </w:rPr>
        <w:t>负责人后台的价值在于让 Pacgate 从个案交付走向结构化经营：看到需求趋势、服务瓶颈、质量问题、客户行业变化和可产品化机会。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看板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核心指标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运营看板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新增事项、处理中事项、待复核事项、超时事项、平均交付时间、律师负载。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质量看板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AI 输出修改率、幻觉依据次数、律师驳回率、遗漏反馈、各 agent 错误类型。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客户需求看板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客户行业分布、产品线需求、高频合规问题、高频跨境目的地、高频 AI 产品风险。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商业趋势看板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服务产品增长、交付耗时最高的项目、可标准化套餐、需要专项 playbook 的客户。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11. MVP 建设路线</w:t>
      </w:r>
    </w:p>
    <w:p>
      <w:r>
        <w:rPr>
          <w:rFonts w:ascii="Arial" w:hAnsi="Arial" w:eastAsia="微软雅黑"/>
          <w:sz w:val="21"/>
        </w:rPr>
        <w:t>建议第一版以“一个统一合规 Matter 工作流 + 三类产品线入口 + 律师审批 + 客户交付”为目标。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阶段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目标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交付成果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0. 设计确认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确认 PRD、数据模型、状态机、安全边界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系统 PRD、Matter schema、权限矩阵、数据边界方案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1. 本地基础设施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搭建本地模型网关、文档库、数据库、RAG 基础服务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Local Model Gateway、Document Vault、Postgres/pgvector、基础知识库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2. 客户入口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支持飞书/邮件/Portal 中至少两个入口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Matter 创建、文件接收、问卷、补件流程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3. 合规 Agent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实现三类合规产品的共用 agent pipeline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Intake、Mapping、Gap、Remediation、Report 草稿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4. 律师审批与交付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实现 Review Console 和 Delivery Package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律师批注、批准、驳回、报告交付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5. 负责人后台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上线基础运营与质量指标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事项看板、质量看板、客户需求趋势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6. 第二阶段扩展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接入商业合同审查和投资协议审查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Contract Review Team、Investment Agreement Team、红线工具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12. 推荐技术选型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建议选型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前端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Client Portal + Lawyer Console + Admin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三端体验分离，底层共用 Matter。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客户入口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OpenClaw、飞书 Bot、Email Parser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匹配客户自然工作方式。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后端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Python 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适合 AI、文档处理、RAG 和 workflow 集成。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MVP 可自建状态机，生产版考虑 Temporal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合规项目需要长流程、重试、审批、SLA。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Agent 编排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自建 Orchestrator 或 LangGraph，后续可接 Agents SDK 风格 handoff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先稳定落地，再提升自治程度。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推理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vLLM + Ollama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vLLM 生产服务，Ollama 开发管理。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数据库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Postgres + pgvector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兼顾业务数据、权限、向量检索和审计。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文件存储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本地 NAS / MinIO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文件留在本地，便于权限和备份。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审计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Append-only Audit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微软雅黑"/>
                <w:b w:val="0"/>
                <w:sz w:val="18"/>
              </w:rPr>
              <w:t>满足法律服务追溯与质量评估。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F4E79"/>
        </w:rPr>
        <w:t>13. 近期待决策事项</w:t>
      </w:r>
    </w:p>
    <w:p>
      <w:pPr>
        <w:pStyle w:val="ListBullet"/>
      </w:pPr>
      <w:r>
        <w:rPr>
          <w:rFonts w:ascii="Arial" w:hAnsi="Arial" w:eastAsia="微软雅黑"/>
          <w:sz w:val="21"/>
        </w:rPr>
        <w:t>第一批三个合规产品中，MVP 是否先聚焦一个主打产品，例如数据跨境合规。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客户入口优先级：飞书、邮件、OpenClaw、Portal 中先做哪两个。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本地服务器路线：Mac Studio 先行原型，还是直接上 NVIDIA 本地服务器。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是否在 MVP 阶段引入 Temporal，还是先用轻量状态机。</w:t>
      </w:r>
    </w:p>
    <w:p>
      <w:pPr>
        <w:pStyle w:val="ListBullet"/>
      </w:pPr>
      <w:r>
        <w:rPr>
          <w:rFonts w:ascii="Arial" w:hAnsi="Arial" w:eastAsia="微软雅黑"/>
          <w:sz w:val="21"/>
        </w:rPr>
        <w:t>Authority Registry 的第一批知识源由谁负责整理、审核和更新。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律师审批规则：哪些场景可轻量审批，哪些必须负责人或合伙人升级审批。</w:t>
      </w:r>
    </w:p>
    <w:p>
      <w:pPr>
        <w:pStyle w:val="Heading1"/>
      </w:pPr>
      <w:r>
        <w:rPr>
          <w:rFonts w:ascii="Arial" w:hAnsi="Arial" w:eastAsia="微软雅黑"/>
          <w:color w:val="1F4E79"/>
        </w:rPr>
        <w:t>14. 结论</w:t>
      </w:r>
    </w:p>
    <w:p>
      <w:r>
        <w:rPr>
          <w:rFonts w:ascii="Arial" w:hAnsi="Arial" w:eastAsia="微软雅黑"/>
          <w:sz w:val="21"/>
        </w:rPr>
        <w:t>Pacgate AI Law Firm 系统的正确起点不是“法律聊天机器人”，而是“合规法律服务交付平台”。第一阶段以数据合规、AI 产品合规、Web3/RWA 产品合规为主线，可以最大化发挥 agent workflow、RAG、问卷自动化、报告生成和负责人趋势分析的价值。</w:t>
      </w:r>
    </w:p>
    <w:p>
      <w:r>
        <w:rPr>
          <w:rFonts w:ascii="Arial" w:hAnsi="Arial" w:eastAsia="微软雅黑"/>
          <w:sz w:val="21"/>
        </w:rPr>
        <w:t>系统建设应坚持本地优先、客户数据不出域、Matter 统一、流程可审计、律师审批内嵌、负责人可监控。合同审查和投资协议审查适合作为第二阶段能力，复用同一底座扩展，而不应作为第一阶段主线。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