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B8AA1">
      <w:pPr>
        <w:bidi w:val="0"/>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智方云本地</w:t>
      </w:r>
      <w:r>
        <w:rPr>
          <w:rFonts w:hint="default" w:ascii="Times New Roman" w:hAnsi="Times New Roman" w:eastAsia="方正小标宋简体" w:cs="Times New Roman"/>
          <w:sz w:val="44"/>
          <w:szCs w:val="44"/>
        </w:rPr>
        <w:t xml:space="preserve"> AI </w:t>
      </w:r>
      <w:r>
        <w:rPr>
          <w:rFonts w:hint="eastAsia" w:ascii="方正小标宋简体" w:hAnsi="方正小标宋简体" w:eastAsia="方正小标宋简体" w:cs="方正小标宋简体"/>
          <w:sz w:val="44"/>
          <w:szCs w:val="44"/>
        </w:rPr>
        <w:t>硬件设备及标准系统交付合同</w:t>
      </w:r>
    </w:p>
    <w:p>
      <w:pPr>
        <w:jc w:val="right"/>
      </w:pPr>
      <w:r>
        <w:rPr>
          <w:b/>
        </w:rPr>
        <w:t>合同编号：CUBECLOUD-HWOS-2026-P01</w:t>
      </w:r>
    </w:p>
    <w:p w14:paraId="5DC7493F">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38E5CDE2">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73D99967">
      <w:pPr>
        <w:bidi w:val="0"/>
        <w:rPr>
          <w:rFonts w:hint="eastAsia" w:ascii="方正仿宋_GB2312" w:hAnsi="方正仿宋_GB2312" w:eastAsia="方正仿宋_GB2312" w:cs="方正仿宋_GB2312"/>
          <w:lang w:val="en-US" w:eastAsia="zh-CN"/>
        </w:rPr>
      </w:pPr>
      <w:r/>
    </w:p>
    <w:p w14:paraId="329B0E9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甲方（需方）：</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cs="方正仿宋_GB2312"/>
          <w:lang w:val="en-US" w:eastAsia="zh-CN"/>
        </w:rPr>
      </w:r>
      <w:r>
        <w:rPr>
          <w:rFonts w:hint="eastAsia" w:ascii="方正仿宋_GB2312" w:hAnsi="方正仿宋_GB2312" w:eastAsia="方正仿宋_GB2312" w:cs="方正仿宋_GB2312"/>
          <w:lang w:val="en-US" w:eastAsia="zh-CN"/>
        </w:rPr>
      </w:r>
    </w:p>
    <w:p w14:paraId="3FF4BEE3">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地       址：</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22DB30B6">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人：</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26278488">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方 式：</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7AF76705">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3CADFA62">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58D5594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77EB12E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04EFA10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3313980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r/>
    </w:p>
    <w:p w14:paraId="238EFD9E">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乙方（供方）：</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62E34D5B">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地       址：</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21A462B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人：</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0247E57C">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联 系 方 式：</w:t>
      </w:r>
      <w:r>
        <w:rPr>
          <w:rFonts w:hint="eastAsia" w:ascii="方正仿宋_GB2312" w:hAnsi="方正仿宋_GB2312" w:eastAsia="方正仿宋_GB2312" w:cs="方正仿宋_GB2312"/>
          <w:u w:val="single"/>
          <w:lang w:val="en-US" w:eastAsia="zh-CN"/>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lang w:val="en-US" w:eastAsia="zh-CN"/>
        </w:rPr>
      </w:r>
    </w:p>
    <w:p w14:paraId="780B9192">
      <w:pPr>
        <w:rPr>
          <w:rFonts w:ascii="Times New Roman" w:hAnsi="Times New Roman" w:eastAsia="宋体" w:cs="Times New Roman"/>
          <w:sz w:val="24"/>
        </w:rPr>
      </w:pPr>
      <w:r/>
    </w:p>
    <w:p w14:paraId="101F2DA6">
      <w:p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鉴于甲方拟建设本地化 AI 工作基础设施，乙方具备本地 AI 硬件设备、Cubecloud 标准本地 AI 层及 Cubecloud Agent OS 表层的交付能力；双方确认，本合同项下交付物为 Pacgate 律所 Phase 1 本地试点与开源法律 AI 部署支持，不包含面向外部客户的正式 SaaS 产品开发、客户门户、多租户系统、计费、运维监控或商业化平台建设；Phase 2 商业化平台的模块范围、团队配置与预算区间，应在 Phase 1 验收完成且双方对试点成果达成共识后另行提出。经友好协商，双方就本合同项下事宜达成本协议。</w:t>
      </w:r>
      <w:r>
        <w:rPr>
          <w:rFonts w:hint="default" w:ascii="Times New Roman" w:hAnsi="Times New Roman" w:eastAsia="方正仿宋_GB2312" w:cs="Times New Roman"/>
        </w:rPr>
      </w:r>
      <w:r>
        <w:rPr>
          <w:rFonts w:hint="eastAsia" w:ascii="方正仿宋_GB2312" w:hAnsi="方正仿宋_GB2312" w:eastAsia="方正仿宋_GB2312" w:cs="方正仿宋_GB2312"/>
        </w:rPr>
      </w:r>
      <w:r>
        <w:rPr>
          <w:rFonts w:hint="default" w:ascii="Times New Roman" w:hAnsi="Times New Roman" w:eastAsia="方正仿宋_GB2312" w:cs="Times New Roman"/>
        </w:rPr>
      </w:r>
      <w:r>
        <w:rPr>
          <w:rFonts w:hint="eastAsia" w:ascii="方正仿宋_GB2312" w:hAnsi="方正仿宋_GB2312" w:eastAsia="方正仿宋_GB2312" w:cs="方正仿宋_GB2312"/>
        </w:rPr>
      </w:r>
      <w:r>
        <w:rPr>
          <w:rFonts w:hint="default" w:ascii="Times New Roman" w:hAnsi="Times New Roman" w:eastAsia="方正仿宋_GB2312" w:cs="Times New Roman"/>
        </w:rPr>
      </w:r>
      <w:r>
        <w:rPr>
          <w:rFonts w:hint="eastAsia" w:ascii="方正仿宋_GB2312" w:hAnsi="方正仿宋_GB2312" w:eastAsia="方正仿宋_GB2312" w:cs="方正仿宋_GB2312"/>
        </w:rPr>
      </w:r>
      <w:r>
        <w:rPr>
          <w:rFonts w:hint="default" w:ascii="Times New Roman" w:hAnsi="Times New Roman" w:eastAsia="方正仿宋_GB2312" w:cs="Times New Roman"/>
        </w:rPr>
      </w:r>
      <w:r>
        <w:rPr>
          <w:rFonts w:hint="eastAsia" w:ascii="方正仿宋_GB2312" w:hAnsi="方正仿宋_GB2312" w:eastAsia="方正仿宋_GB2312" w:cs="方正仿宋_GB2312"/>
        </w:rPr>
      </w:r>
      <w:r>
        <w:rPr>
          <w:rFonts w:hint="default" w:ascii="Times New Roman" w:hAnsi="Times New Roman" w:eastAsia="方正仿宋_GB2312" w:cs="Times New Roman"/>
        </w:rPr>
      </w:r>
      <w:r>
        <w:rPr>
          <w:rFonts w:hint="eastAsia" w:ascii="方正仿宋_GB2312" w:hAnsi="方正仿宋_GB2312" w:eastAsia="方正仿宋_GB2312" w:cs="方正仿宋_GB2312"/>
        </w:rPr>
      </w:r>
    </w:p>
    <w:p w14:paraId="0AFCAFD2">
      <w:pPr>
        <w:pStyle w:val="2"/>
        <w:bidi w:val="0"/>
        <w:spacing w:line="360" w:lineRule="auto"/>
        <w:rPr>
          <w:rFonts w:hint="eastAsia"/>
        </w:rPr>
      </w:pPr>
      <w:r>
        <w:rPr>
          <w:rFonts w:hint="eastAsia"/>
        </w:rPr>
        <w:t>第</w:t>
      </w:r>
      <w:r>
        <w:rPr>
          <w:rFonts w:hint="eastAsia"/>
          <w:lang w:val="en-US" w:eastAsia="zh-CN"/>
        </w:rPr>
        <w:t>一</w:t>
      </w:r>
      <w:r>
        <w:rPr>
          <w:rFonts w:hint="eastAsia"/>
        </w:rPr>
        <w:t>条</w:t>
      </w:r>
      <w:r>
        <w:rPr>
          <w:rFonts w:hint="eastAsia"/>
          <w:lang w:val="en-US" w:eastAsia="zh-CN"/>
        </w:rPr>
        <w:t xml:space="preserve">  </w:t>
      </w:r>
      <w:r>
        <w:rPr>
          <w:rFonts w:hint="eastAsia"/>
        </w:rPr>
        <w:t>合</w:t>
      </w:r>
      <w:bookmarkStart w:id="0" w:name="_GoBack"/>
      <w:bookmarkEnd w:id="0"/>
      <w:r>
        <w:rPr>
          <w:rFonts w:hint="eastAsia"/>
        </w:rPr>
        <w:t>同目的</w:t>
      </w:r>
    </w:p>
    <w:p w14:paraId="14544FAC">
      <w:p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乙方根据本合同及《智方云产品及服务统一选购表》向甲方交付本地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硬件设备、配套设备、标准</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层及</w:t>
      </w:r>
      <w:r>
        <w:rPr>
          <w:rFonts w:hint="default" w:ascii="Times New Roman" w:hAnsi="Times New Roman" w:eastAsia="方正仿宋_GB2312" w:cs="Times New Roman"/>
        </w:rPr>
        <w:t xml:space="preserve"> Agent OS </w:t>
      </w:r>
      <w:r>
        <w:rPr>
          <w:rFonts w:hint="eastAsia" w:ascii="方正仿宋_GB2312" w:hAnsi="方正仿宋_GB2312" w:eastAsia="方正仿宋_GB2312" w:cs="方正仿宋_GB2312"/>
        </w:rPr>
        <w:t>表层，使甲方具备本地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工作、文件处理、基础检索、</w:t>
      </w:r>
      <w:r>
        <w:rPr>
          <w:rFonts w:hint="default" w:ascii="Times New Roman" w:hAnsi="Times New Roman" w:eastAsia="方正仿宋_GB2312" w:cs="Times New Roman"/>
        </w:rPr>
        <w:t xml:space="preserve">Agent </w:t>
      </w:r>
      <w:r>
        <w:rPr>
          <w:rFonts w:hint="eastAsia" w:ascii="方正仿宋_GB2312" w:hAnsi="方正仿宋_GB2312" w:eastAsia="方正仿宋_GB2312" w:cs="方正仿宋_GB2312"/>
        </w:rPr>
        <w:t>应用承载及后续扩展的基础环境。</w:t>
      </w:r>
    </w:p>
    <w:p w14:paraId="627768F1">
      <w:pPr>
        <w:pStyle w:val="2"/>
        <w:bidi w:val="0"/>
        <w:spacing w:line="360" w:lineRule="auto"/>
        <w:rPr>
          <w:rFonts w:hint="eastAsia" w:eastAsia="黑体"/>
          <w:lang w:eastAsia="zh-CN"/>
        </w:rPr>
      </w:pPr>
      <w:r>
        <w:rPr>
          <w:rFonts w:hint="eastAsia"/>
        </w:rPr>
        <w:t>第</w:t>
      </w:r>
      <w:r>
        <w:rPr>
          <w:rFonts w:hint="eastAsia"/>
          <w:lang w:val="en-US" w:eastAsia="zh-CN"/>
        </w:rPr>
        <w:t>二</w:t>
      </w:r>
      <w:r>
        <w:rPr>
          <w:rFonts w:hint="eastAsia"/>
        </w:rPr>
        <w:t>条</w:t>
      </w:r>
      <w:r>
        <w:rPr>
          <w:rFonts w:hint="eastAsia"/>
          <w:lang w:val="en-US" w:eastAsia="zh-CN"/>
        </w:rPr>
        <w:t xml:space="preserve">  交付内容</w:t>
      </w:r>
    </w:p>
    <w:p w14:paraId="5A43494E">
      <w:pPr>
        <w:bidi w:val="0"/>
        <w:spacing w:line="360" w:lineRule="auto"/>
        <w:ind w:left="0" w:leftChars="0" w:firstLine="560" w:firstLineChars="200"/>
        <w:rPr>
          <w:rFonts w:hint="eastAsia"/>
        </w:rPr>
      </w:pPr>
      <w:r>
        <w:rPr>
          <w:rFonts w:hint="eastAsia"/>
        </w:rPr>
        <w:t>本合同项下具体交付内容以双方确认的《智方云产品及服务统一选购表》中标注适用于本合同的项目为准。基础交付范围包括：</w:t>
      </w:r>
    </w:p>
    <w:p w14:paraId="793D3A71">
      <w:pPr>
        <w:numPr>
          <w:ilvl w:val="0"/>
          <w:numId w:val="1"/>
        </w:numPr>
        <w:bidi w:val="0"/>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 xml:space="preserve">AIPC </w:t>
      </w:r>
      <w:r>
        <w:rPr>
          <w:rFonts w:hint="eastAsia" w:ascii="方正仿宋_GB2312" w:hAnsi="方正仿宋_GB2312" w:eastAsia="方正仿宋_GB2312" w:cs="方正仿宋_GB2312"/>
        </w:rPr>
        <w:t>级本地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设备：用于本地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工作、文档处理、模型运行及</w:t>
      </w:r>
      <w:r>
        <w:rPr>
          <w:rFonts w:hint="default" w:ascii="Times New Roman" w:hAnsi="Times New Roman" w:eastAsia="方正仿宋_GB2312" w:cs="Times New Roman"/>
        </w:rPr>
        <w:t xml:space="preserve"> Agent</w:t>
      </w:r>
      <w:r>
        <w:rPr>
          <w:rFonts w:hint="eastAsia" w:ascii="方正仿宋_GB2312" w:hAnsi="方正仿宋_GB2312" w:eastAsia="方正仿宋_GB2312" w:cs="方正仿宋_GB2312"/>
        </w:rPr>
        <w:t xml:space="preserve"> 应用承载。</w:t>
      </w:r>
    </w:p>
    <w:p w14:paraId="258C45F9">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外接 GPU Dock</w:t>
      </w:r>
      <w:r>
        <w:rPr>
          <w:rFonts w:hint="eastAsia" w:ascii="方正仿宋_GB2312" w:hAnsi="方正仿宋_GB2312" w:eastAsia="方正仿宋_GB2312" w:cs="方正仿宋_GB2312"/>
        </w:rPr>
        <w:t xml:space="preserve"> 或配套加速设备：用于提升本地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 xml:space="preserve">推理及多 </w:t>
      </w:r>
      <w:r>
        <w:rPr>
          <w:rFonts w:hint="default" w:ascii="Times New Roman" w:hAnsi="Times New Roman" w:eastAsia="方正仿宋_GB2312" w:cs="Times New Roman"/>
        </w:rPr>
        <w:t xml:space="preserve">Agent </w:t>
      </w:r>
      <w:r>
        <w:rPr>
          <w:rFonts w:hint="eastAsia" w:ascii="方正仿宋_GB2312" w:hAnsi="方正仿宋_GB2312" w:eastAsia="方正仿宋_GB2312" w:cs="方正仿宋_GB2312"/>
        </w:rPr>
        <w:t>应用运行能力。</w:t>
      </w:r>
    </w:p>
    <w:p w14:paraId="6A1CA3A0">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Cubecloud</w:t>
      </w:r>
      <w:r>
        <w:rPr>
          <w:rFonts w:hint="eastAsia" w:ascii="方正仿宋_GB2312" w:hAnsi="方正仿宋_GB2312" w:eastAsia="方正仿宋_GB2312" w:cs="方正仿宋_GB2312"/>
        </w:rPr>
        <w:t xml:space="preserve"> 标准本地 </w:t>
      </w:r>
      <w:r>
        <w:rPr>
          <w:rFonts w:hint="default" w:ascii="Times New Roman" w:hAnsi="Times New Roman" w:eastAsia="方正仿宋_GB2312" w:cs="Times New Roman"/>
        </w:rPr>
        <w:t xml:space="preserve">AI </w:t>
      </w:r>
      <w:r>
        <w:rPr>
          <w:rFonts w:hint="eastAsia" w:ascii="方正仿宋_GB2312" w:hAnsi="方正仿宋_GB2312" w:eastAsia="方正仿宋_GB2312" w:cs="方正仿宋_GB2312"/>
        </w:rPr>
        <w:t>层：包括本地</w:t>
      </w:r>
      <w:r>
        <w:rPr>
          <w:rFonts w:hint="default" w:ascii="Times New Roman" w:hAnsi="Times New Roman" w:eastAsia="方正仿宋_GB2312" w:cs="Times New Roman"/>
        </w:rPr>
        <w:t xml:space="preserve"> AI</w:t>
      </w:r>
      <w:r>
        <w:rPr>
          <w:rFonts w:hint="eastAsia" w:ascii="方正仿宋_GB2312" w:hAnsi="方正仿宋_GB2312" w:eastAsia="方正仿宋_GB2312" w:cs="方正仿宋_GB2312"/>
        </w:rPr>
        <w:t xml:space="preserve"> 基础运行环境、基础文件处理、基础检索及基础访问配置。</w:t>
      </w:r>
    </w:p>
    <w:p w14:paraId="1FB88783">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default" w:ascii="Times New Roman" w:hAnsi="Times New Roman" w:eastAsia="方正仿宋_GB2312" w:cs="Times New Roman"/>
        </w:rPr>
        <w:t>Cubecloud Agent OS</w:t>
      </w:r>
      <w:r>
        <w:rPr>
          <w:rFonts w:hint="eastAsia" w:ascii="方正仿宋_GB2312" w:hAnsi="方正仿宋_GB2312" w:eastAsia="方正仿宋_GB2312" w:cs="方正仿宋_GB2312"/>
        </w:rPr>
        <w:t xml:space="preserve"> 表层：包括统一</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操作入口、基础任务入口、文档处理入口、检索入口及后续</w:t>
      </w:r>
      <w:r>
        <w:rPr>
          <w:rFonts w:hint="default" w:ascii="Times New Roman" w:hAnsi="Times New Roman" w:eastAsia="方正仿宋_GB2312" w:cs="Times New Roman"/>
        </w:rPr>
        <w:t xml:space="preserve"> Agent</w:t>
      </w:r>
      <w:r>
        <w:rPr>
          <w:rFonts w:hint="eastAsia" w:ascii="方正仿宋_GB2312" w:hAnsi="方正仿宋_GB2312" w:eastAsia="方正仿宋_GB2312" w:cs="方正仿宋_GB2312"/>
        </w:rPr>
        <w:t xml:space="preserve"> 接入基础环境。</w:t>
      </w:r>
    </w:p>
    <w:p w14:paraId="7345FAEA">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基础部署与交接说明：包括设备启动、系统入口、基础使用方式及注意事项说明。</w:t>
      </w:r>
    </w:p>
    <w:p w14:paraId="17EF164E">
      <w:pPr>
        <w:numPr>
          <w:ilvl w:val="0"/>
          <w:numId w:val="1"/>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具体型号、配置、数量、价格、是否选购及是否计入合同金额，以统一选购表为准。</w:t>
      </w:r>
    </w:p>
    <w:p w14:paraId="2D8F1A7D">
      <w:pPr>
        <w:pStyle w:val="2"/>
        <w:bidi w:val="0"/>
        <w:spacing w:line="360" w:lineRule="auto"/>
        <w:rPr>
          <w:rFonts w:hint="eastAsia"/>
        </w:rPr>
      </w:pPr>
      <w:r>
        <w:rPr>
          <w:rFonts w:hint="eastAsia"/>
        </w:rPr>
        <w:t>第</w:t>
      </w:r>
      <w:r>
        <w:rPr>
          <w:rFonts w:hint="eastAsia"/>
          <w:lang w:val="en-US" w:eastAsia="zh-CN"/>
        </w:rPr>
        <w:t>三</w:t>
      </w:r>
      <w:r>
        <w:rPr>
          <w:rFonts w:hint="eastAsia"/>
        </w:rPr>
        <w:t>条</w:t>
      </w:r>
      <w:r>
        <w:rPr>
          <w:rFonts w:hint="eastAsia"/>
          <w:lang w:val="en-US" w:eastAsia="zh-CN"/>
        </w:rPr>
        <w:t xml:space="preserve">  </w:t>
      </w:r>
      <w:r>
        <w:rPr>
          <w:rFonts w:hint="eastAsia"/>
        </w:rPr>
        <w:t>统一选购表及合同金额</w:t>
      </w:r>
    </w:p>
    <w:p w14:paraId="3B24F67A">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《智方云产品及服务统一选购表》为本合同附件，可同时作为双方其他合同的共同附件。</w:t>
      </w:r>
    </w:p>
    <w:p w14:paraId="1C3E2EF3">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仅统一选购表中明确标注适用于本合同、已确认选购并计入本合同金额的项目，属于乙方本合同项下交付范围。</w:t>
      </w:r>
    </w:p>
    <w:p w14:paraId="73D5211D">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总金额以双方确认的《智方云产品及服务统一选购表》中归属于本合同的最终应付金额为准；该金额为不含增值税金额。如甲方要求乙方开具增值税发票，税费由甲方另行承担，具体税率、发票类型及含税金额以双方书面确认或乙方依法开票为准</w:t>
      </w:r>
    </w:p>
    <w:p w14:paraId="1EB0DE96">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合同总金额：人民币 ¥ 79,600 元（大写：人民币柒万玖仟陆佰元整，不含增值税）。</w:t>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rPr>
      </w:r>
      <w:r>
        <w:rPr>
          <w:rFonts w:hint="eastAsia" w:ascii="方正仿宋_GB2312" w:hAnsi="方正仿宋_GB2312" w:eastAsia="方正仿宋_GB2312" w:cs="方正仿宋_GB2312"/>
          <w:lang w:eastAsia="zh-CN"/>
        </w:rPr>
      </w:r>
    </w:p>
    <w:p w14:paraId="42BB69F2">
      <w:pPr>
        <w:numPr>
          <w:ilvl w:val="0"/>
          <w:numId w:val="2"/>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如合同正文与统一选购表不一致，涉及产品名称、型号、数量、单价、优惠及应付金额的，以统一选购表为准；涉及交付边界、知识产权、保密、违约责任及争议解决的，以本合同正文为准。</w:t>
      </w:r>
    </w:p>
    <w:p w14:paraId="33F9C697">
      <w:pPr>
        <w:pStyle w:val="2"/>
        <w:bidi w:val="0"/>
        <w:spacing w:line="360" w:lineRule="auto"/>
        <w:rPr>
          <w:rFonts w:hint="eastAsia"/>
        </w:rPr>
      </w:pPr>
      <w:r>
        <w:rPr>
          <w:rFonts w:hint="default"/>
        </w:rPr>
        <w:t>第</w:t>
      </w:r>
      <w:r>
        <w:rPr>
          <w:rFonts w:hint="eastAsia"/>
          <w:lang w:val="en-US" w:eastAsia="zh-CN"/>
        </w:rPr>
        <w:t>四</w:t>
      </w:r>
      <w:r>
        <w:rPr>
          <w:rFonts w:hint="default"/>
        </w:rPr>
        <w:t>条</w:t>
      </w:r>
      <w:r>
        <w:rPr>
          <w:rFonts w:hint="eastAsia"/>
          <w:lang w:val="en-US" w:eastAsia="zh-CN"/>
        </w:rPr>
        <w:t xml:space="preserve">  </w:t>
      </w:r>
      <w:r>
        <w:rPr>
          <w:rFonts w:hint="eastAsia"/>
        </w:rPr>
        <w:t>交付周期与验收</w:t>
      </w:r>
    </w:p>
    <w:p w14:paraId="00803CD6">
      <w:p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乙方应在收到甲方应付款项且下列交付条件同时具备后，于 20 个工作日内完成交付及基础部署：(a) 甲方已确认《智方云产品及服务统一选购表》选购项并书面通知乙方；(b) 甲方现场电源、网络、温湿度与机柜条件已符合设备厂商要求；(c) 乙方远程访问通道已开通。</w:t>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rPr>
      </w:r>
    </w:p>
    <w:p w14:paraId="07EF3949">
      <w:pPr>
        <w:numPr>
          <w:ilvl w:val="0"/>
          <w:numId w:val="3"/>
        </w:numPr>
        <w:bidi w:val="0"/>
        <w:spacing w:line="360" w:lineRule="auto"/>
        <w:ind w:left="0" w:leftChars="0" w:firstLine="560" w:firstLineChars="0"/>
        <w:rPr>
          <w:rFonts w:hint="eastAsia"/>
        </w:rPr>
      </w:pPr>
      <w:r>
        <w:rPr>
          <w:rFonts w:hint="eastAsia"/>
        </w:rPr>
        <w:t>因硬件供货、物流、甲方现场环境、第三方厂商政策或不可抗力导致延期的，交付周期相应顺延。</w:t>
      </w:r>
    </w:p>
    <w:p w14:paraId="432062BF">
      <w:pPr>
        <w:numPr>
          <w:ilvl w:val="0"/>
          <w:numId w:val="3"/>
        </w:numPr>
        <w:bidi w:val="0"/>
        <w:spacing w:line="360" w:lineRule="auto"/>
        <w:ind w:left="0" w:leftChars="0" w:firstLine="560" w:firstLineChars="0"/>
        <w:rPr>
          <w:rFonts w:hint="eastAsia"/>
        </w:rPr>
      </w:pPr>
      <w:r>
        <w:rPr>
          <w:rFonts w:hint="eastAsia"/>
        </w:rPr>
        <w:t>满足以下条件，视为具备验收条件：</w:t>
      </w:r>
    </w:p>
    <w:p w14:paraId="10AEC831">
      <w:pPr>
        <w:numPr>
          <w:ilvl w:val="0"/>
          <w:numId w:val="4"/>
        </w:numPr>
        <w:bidi w:val="0"/>
        <w:spacing w:line="360" w:lineRule="auto"/>
        <w:ind w:left="5" w:leftChars="0" w:firstLine="555" w:firstLineChars="0"/>
        <w:rPr>
          <w:rFonts w:hint="eastAsia" w:asciiTheme="minorEastAsia" w:hAnsiTheme="minorEastAsia" w:eastAsiaTheme="minorEastAsia" w:cstheme="minorEastAsia"/>
          <w:sz w:val="28"/>
          <w:szCs w:val="28"/>
        </w:rPr>
      </w:pPr>
      <w:r>
        <w:rPr>
          <w:rFonts w:hint="eastAsia"/>
        </w:rPr>
        <w:t>已选购硬件设备完成交付；</w:t>
      </w:r>
    </w:p>
    <w:p w14:paraId="3C203212">
      <w:pPr>
        <w:numPr>
          <w:ilvl w:val="0"/>
          <w:numId w:val="4"/>
        </w:numPr>
        <w:bidi w:val="0"/>
        <w:spacing w:line="360" w:lineRule="auto"/>
        <w:ind w:left="0" w:leftChars="0" w:firstLine="560" w:firstLineChars="0"/>
        <w:rPr>
          <w:rFonts w:hint="eastAsia"/>
        </w:rPr>
      </w:pPr>
      <w:r>
        <w:rPr>
          <w:rFonts w:hint="eastAsia"/>
        </w:rPr>
        <w:t>已选购配套设备完成交付；</w:t>
      </w:r>
    </w:p>
    <w:p w14:paraId="398EE2B2">
      <w:pPr>
        <w:numPr>
          <w:ilvl w:val="0"/>
          <w:numId w:val="4"/>
        </w:numPr>
        <w:bidi w:val="0"/>
        <w:spacing w:line="360" w:lineRule="auto"/>
        <w:ind w:left="5" w:leftChars="0" w:firstLine="555" w:firstLineChars="0"/>
        <w:rPr>
          <w:rFonts w:hint="eastAsia" w:ascii="方正仿宋_GB2312" w:hAnsi="方正仿宋_GB2312" w:eastAsia="方正仿宋_GB2312" w:cs="方正仿宋_GB2312"/>
          <w:sz w:val="28"/>
          <w:szCs w:val="28"/>
        </w:rPr>
      </w:pPr>
      <w:r>
        <w:rPr>
          <w:rFonts w:hint="default" w:ascii="Times New Roman" w:hAnsi="Times New Roman" w:eastAsia="方正仿宋_GB2312" w:cs="Times New Roman"/>
          <w:sz w:val="28"/>
          <w:szCs w:val="28"/>
        </w:rPr>
        <w:t xml:space="preserve">Cubecloud </w:t>
      </w:r>
      <w:r>
        <w:rPr>
          <w:rFonts w:hint="eastAsia" w:ascii="方正仿宋_GB2312" w:hAnsi="方正仿宋_GB2312" w:eastAsia="方正仿宋_GB2312" w:cs="方正仿宋_GB2312"/>
          <w:sz w:val="28"/>
          <w:szCs w:val="28"/>
        </w:rPr>
        <w:t>标准本地</w:t>
      </w:r>
      <w:r>
        <w:rPr>
          <w:rFonts w:hint="default" w:ascii="Times New Roman" w:hAnsi="Times New Roman" w:eastAsia="方正仿宋_GB2312" w:cs="Times New Roman"/>
          <w:sz w:val="28"/>
          <w:szCs w:val="28"/>
        </w:rPr>
        <w:t xml:space="preserve"> AI </w:t>
      </w:r>
      <w:r>
        <w:rPr>
          <w:rFonts w:hint="eastAsia" w:ascii="方正仿宋_GB2312" w:hAnsi="方正仿宋_GB2312" w:eastAsia="方正仿宋_GB2312" w:cs="方正仿宋_GB2312"/>
          <w:sz w:val="28"/>
          <w:szCs w:val="28"/>
        </w:rPr>
        <w:t>层完成基础部署；</w:t>
      </w:r>
    </w:p>
    <w:p w14:paraId="4444674C">
      <w:pPr>
        <w:numPr>
          <w:ilvl w:val="0"/>
          <w:numId w:val="4"/>
        </w:numPr>
        <w:bidi w:val="0"/>
        <w:spacing w:line="360" w:lineRule="auto"/>
        <w:ind w:left="5" w:leftChars="0" w:firstLine="555" w:firstLineChars="0"/>
        <w:rPr>
          <w:rFonts w:hint="eastAsia" w:asciiTheme="minorEastAsia" w:hAnsiTheme="minorEastAsia" w:eastAsiaTheme="minorEastAsia" w:cstheme="minorEastAsia"/>
          <w:sz w:val="28"/>
          <w:szCs w:val="28"/>
        </w:rPr>
      </w:pPr>
      <w:r>
        <w:rPr>
          <w:rFonts w:hint="default" w:ascii="Times New Roman" w:hAnsi="Times New Roman" w:cs="Times New Roman" w:eastAsiaTheme="minorEastAsia"/>
          <w:sz w:val="28"/>
          <w:szCs w:val="28"/>
        </w:rPr>
        <w:t>Cubecloud Agent OS</w:t>
      </w:r>
      <w:r>
        <w:rPr>
          <w:rFonts w:hint="eastAsia" w:ascii="方正仿宋_GB2312" w:hAnsi="方正仿宋_GB2312" w:eastAsia="方正仿宋_GB2312" w:cs="方正仿宋_GB2312"/>
          <w:sz w:val="28"/>
          <w:szCs w:val="28"/>
        </w:rPr>
        <w:t xml:space="preserve"> 表层完成基础启用；</w:t>
      </w:r>
    </w:p>
    <w:p w14:paraId="621090FC">
      <w:pPr>
        <w:numPr>
          <w:ilvl w:val="0"/>
          <w:numId w:val="4"/>
        </w:numPr>
        <w:bidi w:val="0"/>
        <w:spacing w:line="360" w:lineRule="auto"/>
        <w:ind w:left="5" w:leftChars="0" w:firstLine="555"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系统可正常启动并完成基础演示；</w:t>
      </w:r>
    </w:p>
    <w:p w14:paraId="49555B28">
      <w:pPr>
        <w:numPr>
          <w:ilvl w:val="0"/>
          <w:numId w:val="4"/>
        </w:numPr>
        <w:bidi w:val="0"/>
        <w:spacing w:line="360" w:lineRule="auto"/>
        <w:ind w:left="5" w:leftChars="0" w:firstLine="555"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乙方完成基础交接说明。</w:t>
      </w:r>
    </w:p>
    <w:p w14:paraId="4D432A6F">
      <w:pPr>
        <w:numPr>
          <w:ilvl w:val="0"/>
          <w:numId w:val="3"/>
        </w:numPr>
        <w:bidi w:val="0"/>
        <w:spacing w:line="360" w:lineRule="auto"/>
        <w:ind w:left="0" w:leftChars="0"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甲方应在收到乙方书面验收通知后 7 个工作日内完成验收；甲方逾期未提出书面异议的，视为验收通过。</w:t>
      </w:r>
      <w:r>
        <w:rPr>
          <w:rFonts w:hint="eastAsia" w:ascii="方正仿宋_GB2312" w:hAnsi="方正仿宋_GB2312" w:eastAsia="方正仿宋_GB2312" w:cs="方正仿宋_GB2312"/>
          <w:sz w:val="28"/>
          <w:szCs w:val="28"/>
          <w:u w:val="single"/>
          <w:lang w:val="en-US" w:eastAsia="zh-CN"/>
        </w:rPr>
      </w:r>
      <w:r>
        <w:rPr>
          <w:rFonts w:hint="eastAsia" w:ascii="方正仿宋_GB2312" w:hAnsi="方正仿宋_GB2312" w:cs="方正仿宋_GB2312"/>
          <w:sz w:val="28"/>
          <w:szCs w:val="28"/>
          <w:u w:val="single"/>
          <w:lang w:val="en-US" w:eastAsia="zh-CN"/>
        </w:rPr>
      </w:r>
      <w:r>
        <w:rPr>
          <w:rFonts w:hint="eastAsia" w:ascii="方正仿宋_GB2312" w:hAnsi="方正仿宋_GB2312" w:eastAsia="方正仿宋_GB2312" w:cs="方正仿宋_GB2312"/>
          <w:sz w:val="28"/>
          <w:szCs w:val="28"/>
          <w:u w:val="single"/>
          <w:lang w:val="en-US" w:eastAsia="zh-CN"/>
        </w:rPr>
      </w:r>
      <w:r>
        <w:rPr>
          <w:rFonts w:hint="eastAsia" w:ascii="方正仿宋_GB2312" w:hAnsi="方正仿宋_GB2312" w:eastAsia="方正仿宋_GB2312" w:cs="方正仿宋_GB2312"/>
          <w:sz w:val="28"/>
          <w:szCs w:val="28"/>
        </w:rPr>
      </w:r>
    </w:p>
    <w:p w14:paraId="39D52BCB">
      <w:pPr>
        <w:numPr>
          <w:ilvl w:val="0"/>
          <w:numId w:val="3"/>
        </w:numPr>
        <w:bidi w:val="0"/>
        <w:spacing w:line="360" w:lineRule="auto"/>
        <w:ind w:left="0" w:leftChars="0" w:firstLine="560" w:firstLineChars="20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超出本合同范围的新增需求，双方另行确认费用及周期。</w:t>
      </w:r>
    </w:p>
    <w:p w14:paraId="04249D6D">
      <w:pPr>
        <w:pStyle w:val="2"/>
        <w:bidi w:val="0"/>
        <w:spacing w:line="360" w:lineRule="auto"/>
        <w:rPr>
          <w:rFonts w:hint="eastAsia"/>
        </w:rPr>
      </w:pPr>
      <w:r>
        <w:rPr>
          <w:rFonts w:hint="default"/>
        </w:rPr>
        <w:t>第</w:t>
      </w:r>
      <w:r>
        <w:rPr>
          <w:rFonts w:hint="eastAsia"/>
          <w:lang w:val="en-US" w:eastAsia="zh-CN"/>
        </w:rPr>
        <w:t>五</w:t>
      </w:r>
      <w:r>
        <w:rPr>
          <w:rFonts w:hint="default"/>
        </w:rPr>
        <w:t>条</w:t>
      </w:r>
      <w:r>
        <w:rPr>
          <w:rFonts w:hint="eastAsia"/>
          <w:lang w:val="en-US" w:eastAsia="zh-CN"/>
        </w:rPr>
        <w:t xml:space="preserve">  </w:t>
      </w:r>
      <w:r>
        <w:rPr>
          <w:rFonts w:hint="eastAsia"/>
        </w:rPr>
        <w:t>交付边界</w:t>
      </w:r>
    </w:p>
    <w:p w14:paraId="4471BC72">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本合同仅适用于硬件设备、配套设备、标准本地</w:t>
      </w:r>
      <w:r>
        <w:rPr>
          <w:rFonts w:hint="default" w:ascii="Times New Roman" w:hAnsi="Times New Roman" w:eastAsia="方正仿宋_GB2312" w:cs="Times New Roman"/>
        </w:rPr>
        <w:t xml:space="preserve"> AI </w:t>
      </w:r>
      <w:r>
        <w:rPr>
          <w:rFonts w:hint="eastAsia" w:ascii="方正仿宋_GB2312" w:hAnsi="方正仿宋_GB2312" w:eastAsia="方正仿宋_GB2312" w:cs="方正仿宋_GB2312"/>
        </w:rPr>
        <w:t>层、</w:t>
      </w:r>
      <w:r>
        <w:rPr>
          <w:rFonts w:hint="default" w:ascii="Times New Roman" w:hAnsi="Times New Roman" w:eastAsia="方正仿宋_GB2312" w:cs="Times New Roman"/>
        </w:rPr>
        <w:t>Agent OS</w:t>
      </w:r>
      <w:r>
        <w:rPr>
          <w:rFonts w:hint="eastAsia" w:ascii="方正仿宋_GB2312" w:hAnsi="方正仿宋_GB2312" w:eastAsia="方正仿宋_GB2312" w:cs="方正仿宋_GB2312"/>
        </w:rPr>
        <w:t>表层及基础部署交接。</w:t>
      </w:r>
    </w:p>
    <w:p w14:paraId="62798366">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本合同不包含法律</w:t>
      </w:r>
      <w:r>
        <w:rPr>
          <w:rFonts w:hint="default" w:ascii="Times New Roman" w:hAnsi="Times New Roman" w:eastAsia="方正仿宋_GB2312" w:cs="Times New Roman"/>
        </w:rPr>
        <w:t xml:space="preserve"> Agent </w:t>
      </w:r>
      <w:r>
        <w:rPr>
          <w:rFonts w:hint="eastAsia" w:ascii="方正仿宋_GB2312" w:hAnsi="方正仿宋_GB2312" w:eastAsia="方正仿宋_GB2312" w:cs="方正仿宋_GB2312"/>
        </w:rPr>
        <w:t>应用定制、</w:t>
      </w:r>
      <w:r>
        <w:rPr>
          <w:rFonts w:hint="default" w:ascii="Times New Roman" w:hAnsi="Times New Roman" w:eastAsia="方正仿宋_GB2312" w:cs="Times New Roman"/>
        </w:rPr>
        <w:t xml:space="preserve">Claude for Legal </w:t>
      </w:r>
      <w:r>
        <w:rPr>
          <w:rFonts w:hint="eastAsia" w:ascii="方正仿宋_GB2312" w:hAnsi="方正仿宋_GB2312" w:eastAsia="方正仿宋_GB2312" w:cs="方正仿宋_GB2312"/>
        </w:rPr>
        <w:t>适配、</w:t>
      </w:r>
      <w:r>
        <w:rPr>
          <w:rFonts w:hint="default" w:ascii="Times New Roman" w:hAnsi="Times New Roman" w:eastAsia="方正仿宋_GB2312" w:cs="Times New Roman"/>
        </w:rPr>
        <w:t xml:space="preserve">Lavern </w:t>
      </w:r>
      <w:r>
        <w:rPr>
          <w:rFonts w:hint="eastAsia" w:ascii="方正仿宋_GB2312" w:hAnsi="方正仿宋_GB2312" w:eastAsia="方正仿宋_GB2312" w:cs="方正仿宋_GB2312"/>
        </w:rPr>
        <w:t>适配、</w:t>
      </w:r>
      <w:r>
        <w:rPr>
          <w:rFonts w:hint="default" w:ascii="Times New Roman" w:hAnsi="Times New Roman" w:eastAsia="方正仿宋_GB2312" w:cs="Times New Roman"/>
        </w:rPr>
        <w:t xml:space="preserve">RAG </w:t>
      </w:r>
      <w:r>
        <w:rPr>
          <w:rFonts w:hint="eastAsia" w:ascii="方正仿宋_GB2312" w:hAnsi="方正仿宋_GB2312" w:eastAsia="方正仿宋_GB2312" w:cs="方正仿宋_GB2312"/>
        </w:rPr>
        <w:t>深度建设、</w:t>
      </w:r>
      <w:r>
        <w:rPr>
          <w:rFonts w:hint="default" w:ascii="Times New Roman" w:hAnsi="Times New Roman" w:eastAsia="方正仿宋_GB2312" w:cs="Times New Roman"/>
        </w:rPr>
        <w:t xml:space="preserve">context graph </w:t>
      </w:r>
      <w:r>
        <w:rPr>
          <w:rFonts w:hint="eastAsia" w:ascii="方正仿宋_GB2312" w:hAnsi="方正仿宋_GB2312" w:eastAsia="方正仿宋_GB2312" w:cs="方正仿宋_GB2312"/>
        </w:rPr>
        <w:t>定制、</w:t>
      </w:r>
      <w:r>
        <w:rPr>
          <w:rFonts w:hint="default" w:ascii="Times New Roman" w:hAnsi="Times New Roman" w:eastAsia="方正仿宋_GB2312" w:cs="Times New Roman"/>
        </w:rPr>
        <w:t xml:space="preserve">connector </w:t>
      </w:r>
      <w:r>
        <w:rPr>
          <w:rFonts w:hint="eastAsia" w:ascii="方正仿宋_GB2312" w:hAnsi="方正仿宋_GB2312" w:eastAsia="方正仿宋_GB2312" w:cs="方正仿宋_GB2312"/>
        </w:rPr>
        <w:t>规划、</w:t>
      </w:r>
      <w:r>
        <w:rPr>
          <w:rFonts w:hint="default" w:ascii="Times New Roman" w:hAnsi="Times New Roman" w:eastAsia="方正仿宋_GB2312" w:cs="Times New Roman"/>
        </w:rPr>
        <w:t xml:space="preserve">MCP </w:t>
      </w:r>
      <w:r>
        <w:rPr>
          <w:rFonts w:hint="eastAsia" w:ascii="方正仿宋_GB2312" w:hAnsi="方正仿宋_GB2312" w:eastAsia="方正仿宋_GB2312" w:cs="方正仿宋_GB2312"/>
        </w:rPr>
        <w:t>扩展、业务工作流开发及长期顾问服务。</w:t>
      </w:r>
    </w:p>
    <w:p w14:paraId="3F655C29">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前述开发类、定制类、知识工程类及顾问类服务，应适用《智方云法律</w:t>
      </w:r>
      <w:r>
        <w:rPr>
          <w:rFonts w:hint="default" w:ascii="Times New Roman" w:hAnsi="Times New Roman" w:eastAsia="方正仿宋_GB2312" w:cs="Times New Roman"/>
        </w:rPr>
        <w:t xml:space="preserve"> Agent </w:t>
      </w:r>
      <w:r>
        <w:rPr>
          <w:rFonts w:hint="eastAsia" w:ascii="方正仿宋_GB2312" w:hAnsi="方正仿宋_GB2312" w:eastAsia="方正仿宋_GB2312" w:cs="方正仿宋_GB2312"/>
        </w:rPr>
        <w:t>应用定制服务合同》或双方另行签署的补充协议</w:t>
      </w:r>
      <w:r>
        <w:rPr>
          <w:rFonts w:hint="eastAsia" w:ascii="方正仿宋_GB2312" w:hAnsi="方正仿宋_GB2312" w:cs="方正仿宋_GB2312"/>
          <w:lang w:eastAsia="zh-CN"/>
        </w:rPr>
        <w:t>。</w:t>
      </w:r>
    </w:p>
    <w:p w14:paraId="38844CD2">
      <w:pPr>
        <w:numPr>
          <w:ilvl w:val="0"/>
          <w:numId w:val="5"/>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未在统一选购表中明确归属于本合同并确认选购的内容，不属于乙方交付范围。</w:t>
      </w:r>
    </w:p>
    <w:p w14:paraId="400D937B">
      <w:pPr>
        <w:pStyle w:val="2"/>
        <w:bidi w:val="0"/>
        <w:spacing w:line="360" w:lineRule="auto"/>
        <w:rPr>
          <w:rFonts w:hint="eastAsia"/>
        </w:rPr>
      </w:pPr>
      <w:r>
        <w:rPr>
          <w:rFonts w:hint="default"/>
        </w:rPr>
        <w:t>第</w:t>
      </w:r>
      <w:r>
        <w:rPr>
          <w:rFonts w:hint="eastAsia"/>
          <w:lang w:val="en-US" w:eastAsia="zh-CN"/>
        </w:rPr>
        <w:t>六</w:t>
      </w:r>
      <w:r>
        <w:rPr>
          <w:rFonts w:hint="default"/>
        </w:rPr>
        <w:t>条</w:t>
      </w:r>
      <w:r>
        <w:rPr>
          <w:rFonts w:hint="eastAsia"/>
          <w:lang w:val="en-US" w:eastAsia="zh-CN"/>
        </w:rPr>
        <w:t xml:space="preserve">  </w:t>
      </w:r>
      <w:r>
        <w:rPr>
          <w:rFonts w:hint="eastAsia"/>
        </w:rPr>
        <w:t>付款方式</w:t>
      </w:r>
    </w:p>
    <w:p w14:paraId="7ED8EEC1">
      <w:pPr>
        <w:numPr>
          <w:ilvl w:val="0"/>
          <w:numId w:val="6"/>
        </w:numPr>
        <w:bidi w:val="0"/>
        <w:spacing w:line="360" w:lineRule="auto"/>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付款方式以统一选购表或双方书面确认的付款安排为准。若统一选购表未另行约定，则按以下方式执行：</w:t>
      </w:r>
    </w:p>
    <w:p w14:paraId="393CF309">
      <w:pPr>
        <w:numPr>
          <w:ilvl w:val="0"/>
          <w:numId w:val="7"/>
        </w:numPr>
        <w:tabs>
          <w:tab w:val="left" w:pos="280"/>
        </w:tabs>
        <w:bidi w:val="0"/>
        <w:spacing w:line="360" w:lineRule="auto"/>
        <w:ind w:left="0" w:leftChars="0" w:firstLine="560" w:firstLineChars="0"/>
        <w:rPr>
          <w:rFonts w:hint="eastAsia" w:asciiTheme="minorEastAsia" w:hAnsiTheme="minorEastAsia" w:eastAsiaTheme="minorEastAsia" w:cstheme="minorEastAsia"/>
          <w:sz w:val="28"/>
          <w:szCs w:val="28"/>
        </w:rPr>
      </w:pPr>
      <w:r>
        <w:rPr>
          <w:rFonts w:hint="eastAsia" w:ascii="方正仿宋_GB2312" w:hAnsi="方正仿宋_GB2312" w:eastAsia="方正仿宋_GB2312" w:cs="方正仿宋_GB2312"/>
        </w:rPr>
        <w:t>合同签署且甲方书面确认 SKU 选购项后 5 个工作日内，甲方向乙方支付合同金额的 60%（首款）。</w:t>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rPr>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rPr>
      </w:r>
    </w:p>
    <w:p w14:paraId="20543EF6">
      <w:pPr>
        <w:numPr>
          <w:ilvl w:val="0"/>
          <w:numId w:val="7"/>
        </w:numPr>
        <w:tabs>
          <w:tab w:val="left" w:pos="280"/>
        </w:tabs>
        <w:bidi w:val="0"/>
        <w:spacing w:line="360" w:lineRule="auto"/>
        <w:ind w:left="0" w:leftChars="0" w:firstLine="560" w:firstLineChars="0"/>
        <w:rPr>
          <w:rFonts w:hint="eastAsia" w:asciiTheme="minorEastAsia" w:hAnsiTheme="minorEastAsia" w:eastAsiaTheme="minorEastAsia" w:cstheme="minorEastAsia"/>
          <w:sz w:val="28"/>
          <w:szCs w:val="28"/>
        </w:rPr>
      </w:pPr>
      <w:r>
        <w:rPr>
          <w:rFonts w:hint="eastAsia" w:ascii="方正仿宋_GB2312" w:hAnsi="方正仿宋_GB2312" w:eastAsia="方正仿宋_GB2312" w:cs="方正仿宋_GB2312"/>
          <w:sz w:val="28"/>
          <w:szCs w:val="28"/>
        </w:rPr>
        <w:t>设备到货且 Cubecloud 标准本地 AI 层与 Agent OS 表层完成基础部署后 5 个工作日内，甲方向乙方支付合同金额的 30%（里程碑一）。</w:t>
      </w:r>
      <w:r>
        <w:rPr>
          <w:rFonts w:hint="eastAsia" w:ascii="方正仿宋_GB2312" w:hAnsi="方正仿宋_GB2312" w:eastAsia="方正仿宋_GB2312" w:cs="方正仿宋_GB2312"/>
          <w:sz w:val="28"/>
          <w:szCs w:val="28"/>
          <w:u w:val="single"/>
          <w:lang w:val="en-US" w:eastAsia="zh-CN"/>
        </w:rPr>
      </w:r>
      <w:r>
        <w:rPr>
          <w:rFonts w:hint="eastAsia" w:ascii="方正仿宋_GB2312" w:hAnsi="方正仿宋_GB2312" w:eastAsia="方正仿宋_GB2312" w:cs="方正仿宋_GB2312"/>
          <w:sz w:val="28"/>
          <w:szCs w:val="28"/>
        </w:rPr>
      </w:r>
    </w:p>
    <w:p w14:paraId="04A3689D">
      <w:pPr>
        <w:numPr>
          <w:ilvl w:val="0"/>
          <w:numId w:val="7"/>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验收完成后 5 个工作日内，甲方向乙方支付合同金额的 10%（终验款）。</w:t>
      </w:r>
      <w:r>
        <w:rPr>
          <w:rFonts w:hint="eastAsia" w:ascii="方正仿宋_GB2312" w:hAnsi="方正仿宋_GB2312" w:eastAsia="方正仿宋_GB2312" w:cs="方正仿宋_GB2312"/>
          <w:u w:val="single"/>
          <w:lang w:val="en-US" w:eastAsia="zh-CN"/>
        </w:rPr>
      </w:r>
      <w:r>
        <w:rPr>
          <w:rFonts w:hint="eastAsia" w:ascii="方正仿宋_GB2312" w:hAnsi="方正仿宋_GB2312" w:eastAsia="方正仿宋_GB2312" w:cs="方正仿宋_GB2312"/>
          <w:lang w:val="en-US" w:eastAsia="zh-CN"/>
        </w:rPr>
      </w:r>
      <w:r>
        <w:rPr>
          <w:rFonts w:hint="eastAsia" w:ascii="方正仿宋_GB2312" w:hAnsi="方正仿宋_GB2312" w:eastAsia="方正仿宋_GB2312" w:cs="方正仿宋_GB2312"/>
        </w:rPr>
      </w:r>
    </w:p>
    <w:p w14:paraId="74A20EF8">
      <w:pPr>
        <w:numPr>
          <w:ilvl w:val="0"/>
          <w:numId w:val="6"/>
        </w:numPr>
        <w:bidi w:val="0"/>
        <w:spacing w:line="360" w:lineRule="auto"/>
        <w:rPr>
          <w:rFonts w:hint="eastAsia"/>
        </w:rPr>
      </w:pPr>
      <w:r>
        <w:rPr>
          <w:rFonts w:hint="eastAsia"/>
        </w:rPr>
        <w:t>甲方未按约定付款的，乙方有权暂停备货、部署、交付、授权开通或后续支持，由此导致的延期不视为乙方违约。</w:t>
      </w:r>
    </w:p>
    <w:p w14:paraId="7EF63C9B">
      <w:pPr>
        <w:numPr>
          <w:ilvl w:val="0"/>
          <w:numId w:val="6"/>
        </w:numPr>
        <w:bidi w:val="0"/>
        <w:spacing w:line="360" w:lineRule="auto"/>
        <w:rPr>
          <w:rFonts w:hint="eastAsia"/>
        </w:rPr>
      </w:pPr>
      <w:r>
        <w:rPr>
          <w:rFonts w:hint="eastAsia"/>
        </w:rPr>
        <w:t>乙方收款信息：</w:t>
      </w:r>
    </w:p>
    <w:p w14:paraId="03E8B8E2">
      <w:pPr>
        <w:bidi w:val="0"/>
        <w:spacing w:line="360" w:lineRule="auto"/>
        <w:ind w:left="0" w:leftChars="0" w:firstLine="560" w:firstLineChars="200"/>
        <w:rPr>
          <w:rFonts w:hint="eastAsia"/>
          <w:lang w:val="en-US" w:eastAsia="zh-CN"/>
        </w:rPr>
      </w:pPr>
      <w:r>
        <w:rPr>
          <w:rFonts w:hint="eastAsia"/>
        </w:rPr>
        <w:t>开户名称：</w:t>
      </w:r>
      <w:r>
        <w:rPr>
          <w:rFonts w:hint="eastAsia"/>
          <w:u w:val="single"/>
          <w:lang w:val="en-US" w:eastAsia="zh-CN"/>
        </w:rPr>
      </w:r>
      <w:r>
        <w:rPr>
          <w:rFonts w:hint="eastAsia"/>
          <w:lang w:val="en-US" w:eastAsia="zh-CN"/>
        </w:rPr>
      </w:r>
    </w:p>
    <w:p w14:paraId="0B3EC5A9">
      <w:pPr>
        <w:bidi w:val="0"/>
        <w:spacing w:line="360" w:lineRule="auto"/>
        <w:ind w:left="0" w:leftChars="0" w:firstLine="560" w:firstLineChars="200"/>
        <w:rPr>
          <w:rFonts w:hint="eastAsia"/>
          <w:lang w:val="en-US" w:eastAsia="zh-CN"/>
        </w:rPr>
      </w:pPr>
      <w:r>
        <w:rPr>
          <w:rFonts w:hint="eastAsia"/>
        </w:rPr>
        <w:t>开户银行：</w:t>
      </w:r>
      <w:r>
        <w:rPr>
          <w:rFonts w:hint="eastAsia"/>
          <w:u w:val="single"/>
          <w:lang w:val="en-US" w:eastAsia="zh-CN"/>
        </w:rPr>
      </w:r>
      <w:r>
        <w:rPr>
          <w:rFonts w:hint="eastAsia"/>
          <w:lang w:val="en-US" w:eastAsia="zh-CN"/>
        </w:rPr>
      </w:r>
    </w:p>
    <w:p w14:paraId="489A81F4">
      <w:pPr>
        <w:bidi w:val="0"/>
        <w:spacing w:line="360" w:lineRule="auto"/>
        <w:ind w:left="0" w:leftChars="0" w:firstLine="560" w:firstLineChars="200"/>
        <w:rPr>
          <w:rFonts w:hint="eastAsia"/>
          <w:lang w:val="en-US" w:eastAsia="zh-CN"/>
        </w:rPr>
      </w:pPr>
      <w:r>
        <w:rPr>
          <w:rFonts w:hint="eastAsia"/>
        </w:rPr>
        <w:t>银行账号：</w:t>
      </w:r>
      <w:r>
        <w:rPr>
          <w:rFonts w:hint="eastAsia"/>
          <w:u w:val="single"/>
          <w:lang w:val="en-US" w:eastAsia="zh-CN"/>
        </w:rPr>
      </w:r>
      <w:r>
        <w:rPr>
          <w:rFonts w:hint="eastAsia"/>
          <w:lang w:val="en-US" w:eastAsia="zh-CN"/>
        </w:rPr>
      </w:r>
    </w:p>
    <w:p w14:paraId="07D62EAE">
      <w:pPr>
        <w:bidi w:val="0"/>
        <w:spacing w:line="360" w:lineRule="auto"/>
        <w:ind w:left="0" w:leftChars="0" w:firstLine="560" w:firstLineChars="200"/>
        <w:rPr>
          <w:rFonts w:hint="eastAsia"/>
        </w:rPr>
      </w:pPr>
      <w:r>
        <w:rPr>
          <w:rFonts w:hint="eastAsia"/>
        </w:rPr>
        <w:t>纳税人识别号：</w:t>
      </w:r>
      <w:r>
        <w:rPr>
          <w:rFonts w:hint="eastAsia"/>
          <w:u w:val="single"/>
          <w:lang w:val="en-US" w:eastAsia="zh-CN"/>
        </w:rPr>
      </w:r>
      <w:r>
        <w:rPr>
          <w:rFonts w:hint="eastAsia"/>
          <w:lang w:val="en-US" w:eastAsia="zh-CN"/>
        </w:rPr>
      </w:r>
    </w:p>
    <w:p w14:paraId="0DA21050">
      <w:pPr>
        <w:pStyle w:val="2"/>
        <w:bidi w:val="0"/>
        <w:spacing w:line="360" w:lineRule="auto"/>
        <w:rPr>
          <w:rFonts w:hint="eastAsia"/>
        </w:rPr>
      </w:pPr>
      <w:r>
        <w:rPr>
          <w:rFonts w:hint="default"/>
        </w:rPr>
        <w:t>第</w:t>
      </w:r>
      <w:r>
        <w:rPr>
          <w:rFonts w:hint="eastAsia"/>
          <w:lang w:val="en-US" w:eastAsia="zh-CN"/>
        </w:rPr>
        <w:t>七</w:t>
      </w:r>
      <w:r>
        <w:rPr>
          <w:rFonts w:hint="default"/>
        </w:rPr>
        <w:t>条</w:t>
      </w:r>
      <w:r>
        <w:rPr>
          <w:rFonts w:hint="eastAsia"/>
          <w:lang w:val="en-US" w:eastAsia="zh-CN"/>
        </w:rPr>
        <w:t xml:space="preserve">  </w:t>
      </w:r>
      <w:r>
        <w:rPr>
          <w:rFonts w:hint="eastAsia"/>
        </w:rPr>
        <w:t>双方义务</w:t>
      </w:r>
    </w:p>
    <w:p w14:paraId="75C70F67">
      <w:pPr>
        <w:numPr>
          <w:ilvl w:val="0"/>
          <w:numId w:val="8"/>
        </w:numPr>
        <w:bidi w:val="0"/>
        <w:spacing w:line="360" w:lineRule="auto"/>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甲方义务：</w:t>
      </w:r>
    </w:p>
    <w:p w14:paraId="5566836A">
      <w:pPr>
        <w:numPr>
          <w:ilvl w:val="0"/>
          <w:numId w:val="9"/>
        </w:numPr>
        <w:tabs>
          <w:tab w:val="left" w:pos="0"/>
        </w:tabs>
        <w:bidi w:val="0"/>
        <w:spacing w:line="360" w:lineRule="auto"/>
        <w:ind w:left="0" w:leftChars="0" w:firstLine="560" w:firstLineChars="200"/>
        <w:rPr>
          <w:rFonts w:hint="eastAsia"/>
        </w:rPr>
      </w:pPr>
      <w:r>
        <w:rPr>
          <w:rFonts w:hint="eastAsia" w:ascii="方正仿宋_GB2312" w:hAnsi="方正仿宋_GB2312" w:eastAsia="方正仿宋_GB2312" w:cs="方正仿宋_GB2312"/>
        </w:rPr>
        <w:t>按约付款，并提供收货地址、现场环境、网络条件、账号权限及必要人员配合。</w:t>
      </w:r>
    </w:p>
    <w:p w14:paraId="15502804">
      <w:pPr>
        <w:numPr>
          <w:ilvl w:val="0"/>
          <w:numId w:val="9"/>
        </w:numPr>
        <w:tabs>
          <w:tab w:val="left" w:pos="0"/>
        </w:tabs>
        <w:bidi w:val="0"/>
        <w:spacing w:line="360" w:lineRule="auto"/>
        <w:ind w:left="0" w:leftChars="0" w:firstLine="560" w:firstLineChars="200"/>
        <w:rPr>
          <w:rFonts w:hint="eastAsia"/>
        </w:rPr>
      </w:pPr>
      <w:r>
        <w:rPr>
          <w:rFonts w:hint="eastAsia"/>
        </w:rPr>
        <w:t>妥善使用设备及系统，不得擅自拆解、复制、转售、出租、分发或未经授权向第三方提供。</w:t>
      </w:r>
    </w:p>
    <w:p w14:paraId="1037370C">
      <w:pPr>
        <w:numPr>
          <w:ilvl w:val="0"/>
          <w:numId w:val="8"/>
        </w:numPr>
        <w:bidi w:val="0"/>
        <w:spacing w:line="360" w:lineRule="auto"/>
        <w:rPr>
          <w:rFonts w:hint="eastAsia"/>
        </w:rPr>
      </w:pPr>
      <w:r>
        <w:rPr>
          <w:rFonts w:hint="eastAsia"/>
        </w:rPr>
        <w:t>乙方义务：</w:t>
      </w:r>
    </w:p>
    <w:p w14:paraId="29D102DE">
      <w:pPr>
        <w:numPr>
          <w:ilvl w:val="0"/>
          <w:numId w:val="10"/>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按合同及统一选购表完成交付，并提供必要基础交接说明。</w:t>
      </w:r>
    </w:p>
    <w:p w14:paraId="131C7F55">
      <w:pPr>
        <w:numPr>
          <w:ilvl w:val="0"/>
          <w:numId w:val="10"/>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可根据实际技术环境合理调整部署方式，但不得实质性降低交付目标。</w:t>
      </w:r>
    </w:p>
    <w:p w14:paraId="08AB34F0">
      <w:pPr>
        <w:numPr>
          <w:ilvl w:val="0"/>
          <w:numId w:val="8"/>
        </w:numPr>
        <w:bidi w:val="0"/>
        <w:spacing w:line="360" w:lineRule="auto"/>
        <w:ind w:left="720" w:leftChars="0" w:hanging="360" w:firstLineChars="0"/>
        <w:rPr>
          <w:rFonts w:hint="eastAsia"/>
        </w:rPr>
      </w:pPr>
      <w:r>
        <w:rPr>
          <w:rFonts w:hint="eastAsia"/>
        </w:rPr>
        <w:t>因甲方自行修改系统、删除配置、误操作、接入未经确认的第三方工具或现场环境变化导致的问题，由甲方自行承担。</w:t>
      </w:r>
    </w:p>
    <w:p w14:paraId="700533D9">
      <w:pPr>
        <w:pStyle w:val="2"/>
        <w:bidi w:val="0"/>
        <w:spacing w:line="360" w:lineRule="auto"/>
        <w:rPr>
          <w:rFonts w:hint="eastAsia"/>
        </w:rPr>
      </w:pPr>
      <w:r>
        <w:rPr>
          <w:rFonts w:hint="default"/>
        </w:rPr>
        <w:t>第</w:t>
      </w:r>
      <w:r>
        <w:rPr>
          <w:rFonts w:hint="eastAsia"/>
          <w:lang w:val="en-US" w:eastAsia="zh-CN"/>
        </w:rPr>
        <w:t>八</w:t>
      </w:r>
      <w:r>
        <w:rPr>
          <w:rFonts w:hint="default"/>
        </w:rPr>
        <w:t>条</w:t>
      </w:r>
      <w:r>
        <w:rPr>
          <w:rFonts w:hint="eastAsia"/>
          <w:lang w:val="en-US" w:eastAsia="zh-CN"/>
        </w:rPr>
        <w:t xml:space="preserve">  </w:t>
      </w:r>
      <w:r>
        <w:rPr>
          <w:rFonts w:hint="eastAsia"/>
        </w:rPr>
        <w:t>知识产权与数据</w:t>
      </w:r>
    </w:p>
    <w:p w14:paraId="56C2C593">
      <w:pPr>
        <w:numPr>
          <w:ilvl w:val="0"/>
          <w:numId w:val="11"/>
        </w:numPr>
        <w:bidi w:val="0"/>
        <w:spacing w:line="360" w:lineRule="auto"/>
        <w:ind w:left="0" w:leftChars="0" w:firstLine="560" w:firstLineChars="200"/>
        <w:rPr>
          <w:rFonts w:hint="eastAsia"/>
        </w:rPr>
      </w:pPr>
      <w:r>
        <w:rPr>
          <w:rFonts w:hint="default" w:ascii="Times New Roman" w:hAnsi="Times New Roman" w:cs="Times New Roman"/>
        </w:rPr>
        <w:t xml:space="preserve">Cubecloud </w:t>
      </w:r>
      <w:r>
        <w:rPr>
          <w:rFonts w:hint="eastAsia"/>
        </w:rPr>
        <w:t>标准本地</w:t>
      </w:r>
      <w:r>
        <w:rPr>
          <w:rFonts w:hint="default" w:ascii="Times New Roman" w:hAnsi="Times New Roman" w:cs="Times New Roman"/>
        </w:rPr>
        <w:t xml:space="preserve"> AI </w:t>
      </w:r>
      <w:r>
        <w:rPr>
          <w:rFonts w:hint="eastAsia"/>
        </w:rPr>
        <w:t>层、</w:t>
      </w:r>
      <w:r>
        <w:rPr>
          <w:rFonts w:hint="default" w:ascii="Times New Roman" w:hAnsi="Times New Roman" w:cs="Times New Roman"/>
        </w:rPr>
        <w:t>Cubecloud Agent OS</w:t>
      </w:r>
      <w:r>
        <w:rPr>
          <w:rFonts w:hint="eastAsia"/>
        </w:rPr>
        <w:t xml:space="preserve"> 表层、系统架构、通用工具、通用模板、部署方法及相关技术成果归乙方所有。</w:t>
      </w:r>
    </w:p>
    <w:p w14:paraId="6CD9C4F6">
      <w:pPr>
        <w:numPr>
          <w:ilvl w:val="0"/>
          <w:numId w:val="11"/>
        </w:numPr>
        <w:bidi w:val="0"/>
        <w:spacing w:line="360" w:lineRule="auto"/>
        <w:ind w:left="0" w:leftChars="0" w:firstLine="560" w:firstLineChars="200"/>
        <w:rPr>
          <w:rFonts w:hint="eastAsia"/>
        </w:rPr>
      </w:pPr>
      <w:r>
        <w:rPr>
          <w:rFonts w:hint="eastAsia"/>
        </w:rPr>
        <w:t>甲方付清合同款项后，获得在本合同约定设备及甲方内部业务范围内使用相关系统的权利。</w:t>
      </w:r>
    </w:p>
    <w:p w14:paraId="4BAB1D87">
      <w:pPr>
        <w:numPr>
          <w:ilvl w:val="0"/>
          <w:numId w:val="11"/>
        </w:numPr>
        <w:bidi w:val="0"/>
        <w:spacing w:line="360" w:lineRule="auto"/>
        <w:ind w:left="0" w:leftChars="0" w:firstLine="560" w:firstLineChars="200"/>
        <w:rPr>
          <w:rFonts w:hint="eastAsia"/>
        </w:rPr>
      </w:pPr>
      <w:r>
        <w:rPr>
          <w:rFonts w:hint="eastAsia"/>
        </w:rPr>
        <w:t>甲方提供的数据、文件及业务资料归甲方或相关权利人所有。</w:t>
      </w:r>
    </w:p>
    <w:p w14:paraId="4FD059D3">
      <w:pPr>
        <w:numPr>
          <w:ilvl w:val="0"/>
          <w:numId w:val="11"/>
        </w:numPr>
        <w:bidi w:val="0"/>
        <w:spacing w:line="360" w:lineRule="auto"/>
        <w:ind w:left="0" w:leftChars="0" w:firstLine="560" w:firstLineChars="200"/>
        <w:rPr>
          <w:rFonts w:hint="eastAsia"/>
        </w:rPr>
      </w:pPr>
      <w:r>
        <w:rPr>
          <w:rFonts w:hint="eastAsia"/>
        </w:rPr>
        <w:t>未经乙方书面许可，甲方不得对乙方系统进行反向工程、复制销售或作为独立产品向第三方提供。</w:t>
      </w:r>
    </w:p>
    <w:p w14:paraId="33DD85F8">
      <w:pPr>
        <w:pStyle w:val="2"/>
        <w:bidi w:val="0"/>
        <w:spacing w:line="360" w:lineRule="auto"/>
        <w:rPr>
          <w:rFonts w:hint="eastAsia"/>
        </w:rPr>
      </w:pPr>
      <w:r>
        <w:rPr>
          <w:rFonts w:hint="default"/>
        </w:rPr>
        <w:t>第</w:t>
      </w:r>
      <w:r>
        <w:rPr>
          <w:rFonts w:hint="eastAsia"/>
          <w:lang w:val="en-US" w:eastAsia="zh-CN"/>
        </w:rPr>
        <w:t>九</w:t>
      </w:r>
      <w:r>
        <w:rPr>
          <w:rFonts w:hint="default"/>
        </w:rPr>
        <w:t>条</w:t>
      </w:r>
      <w:r>
        <w:rPr>
          <w:rFonts w:hint="eastAsia"/>
          <w:lang w:val="en-US" w:eastAsia="zh-CN"/>
        </w:rPr>
        <w:t xml:space="preserve">  </w:t>
      </w:r>
      <w:r>
        <w:rPr>
          <w:rFonts w:hint="eastAsia"/>
        </w:rPr>
        <w:t>售后与维护</w:t>
      </w:r>
    </w:p>
    <w:p w14:paraId="7E0C28EE">
      <w:pPr>
        <w:numPr>
          <w:ilvl w:val="0"/>
          <w:numId w:val="12"/>
        </w:numPr>
        <w:bidi w:val="0"/>
        <w:spacing w:line="360" w:lineRule="auto"/>
        <w:ind w:left="0" w:leftChars="0" w:firstLine="560" w:firstLineChars="200"/>
        <w:rPr>
          <w:rFonts w:hint="eastAsia"/>
        </w:rPr>
      </w:pPr>
      <w:r>
        <w:rPr>
          <w:rFonts w:hint="eastAsia"/>
        </w:rPr>
        <w:t>乙方提供 90 天基础远程支持，用于处理本合同交付范围内的基础使用问题。</w:t>
      </w:r>
    </w:p>
    <w:p w14:paraId="50FEE871">
      <w:pPr>
        <w:numPr>
          <w:ilvl w:val="0"/>
          <w:numId w:val="12"/>
        </w:numPr>
        <w:bidi w:val="0"/>
        <w:spacing w:line="360" w:lineRule="auto"/>
        <w:ind w:left="0" w:leftChars="0" w:firstLine="560" w:firstLineChars="200"/>
        <w:rPr>
          <w:rFonts w:hint="eastAsia"/>
        </w:rPr>
      </w:pPr>
      <w:r>
        <w:rPr>
          <w:rFonts w:hint="eastAsia"/>
        </w:rPr>
        <w:t>硬件设备保修按照设备厂商政策或双方另行约定执行。</w:t>
      </w:r>
    </w:p>
    <w:p w14:paraId="5A6A6FCD">
      <w:pPr>
        <w:numPr>
          <w:ilvl w:val="0"/>
          <w:numId w:val="12"/>
        </w:numPr>
        <w:bidi w:val="0"/>
        <w:spacing w:line="360" w:lineRule="auto"/>
        <w:ind w:left="0" w:leftChars="0" w:firstLine="560" w:firstLineChars="200"/>
        <w:rPr>
          <w:rFonts w:hint="eastAsia"/>
        </w:rPr>
      </w:pPr>
      <w:r>
        <w:rPr>
          <w:rFonts w:hint="eastAsia"/>
        </w:rPr>
        <w:t>现场支持、深度系统调优、业务流程配置、</w:t>
      </w:r>
      <w:r>
        <w:rPr>
          <w:rFonts w:hint="default" w:ascii="Times New Roman" w:hAnsi="Times New Roman" w:cs="Times New Roman"/>
        </w:rPr>
        <w:t xml:space="preserve">Agent </w:t>
      </w:r>
      <w:r>
        <w:rPr>
          <w:rFonts w:hint="eastAsia"/>
        </w:rPr>
        <w:t>应用接入、</w:t>
      </w:r>
      <w:r>
        <w:rPr>
          <w:rFonts w:hint="default" w:ascii="Times New Roman" w:hAnsi="Times New Roman" w:cs="Times New Roman"/>
        </w:rPr>
        <w:t xml:space="preserve">connector </w:t>
      </w:r>
      <w:r>
        <w:rPr>
          <w:rFonts w:hint="eastAsia"/>
        </w:rPr>
        <w:t>规划、</w:t>
      </w:r>
      <w:r>
        <w:rPr>
          <w:rFonts w:hint="default" w:ascii="Times New Roman" w:hAnsi="Times New Roman" w:cs="Times New Roman"/>
        </w:rPr>
        <w:t xml:space="preserve">MCP </w:t>
      </w:r>
      <w:r>
        <w:rPr>
          <w:rFonts w:hint="eastAsia"/>
        </w:rPr>
        <w:t>扩展等不属于本合同免费维护范围，双方另行计费。</w:t>
      </w:r>
    </w:p>
    <w:p w14:paraId="7845C0C9">
      <w:pPr>
        <w:pStyle w:val="2"/>
        <w:bidi w:val="0"/>
        <w:spacing w:line="360" w:lineRule="auto"/>
        <w:rPr>
          <w:rFonts w:hint="eastAsia"/>
        </w:rPr>
      </w:pPr>
      <w:r>
        <w:rPr>
          <w:rFonts w:hint="default"/>
        </w:rPr>
        <w:t>第</w:t>
      </w:r>
      <w:r>
        <w:rPr>
          <w:rFonts w:hint="eastAsia"/>
          <w:lang w:val="en-US" w:eastAsia="zh-CN"/>
        </w:rPr>
        <w:t>十</w:t>
      </w:r>
      <w:r>
        <w:rPr>
          <w:rFonts w:hint="default"/>
        </w:rPr>
        <w:t>条</w:t>
      </w:r>
      <w:r>
        <w:rPr>
          <w:rFonts w:hint="eastAsia"/>
          <w:lang w:val="en-US" w:eastAsia="zh-CN"/>
        </w:rPr>
        <w:t xml:space="preserve">  </w:t>
      </w:r>
      <w:r>
        <w:rPr>
          <w:rFonts w:hint="eastAsia"/>
        </w:rPr>
        <w:t>保密、违约与争议解决</w:t>
      </w:r>
    </w:p>
    <w:p w14:paraId="31FFA87A">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双方应对合作过程中获知的商业秘密、技术资料、客户资料、系统配置、报价信息及其他非公开信息承担保密义务。</w:t>
      </w:r>
    </w:p>
    <w:p w14:paraId="09E89497">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甲方逾期付款的，应按逾期未付款金额每日 0.05% 向乙方支付违约金；逾期超过 15 日的，乙方有权暂停交付、备货、授权开通或后续支持，并有权要求甲方赔偿因此产生的实际损失。</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rPr>
      </w:r>
    </w:p>
    <w:p w14:paraId="6BDF842A">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乙方无正当理由未按约完成交付的，应在合理期限内整改。</w:t>
      </w:r>
    </w:p>
    <w:p w14:paraId="3DA33791">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因甲方原因、第三方原因、硬件供货原因或不可抗力导致延期的，乙方不承担违约责任。</w:t>
      </w:r>
    </w:p>
    <w:p w14:paraId="5332A68A">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除因故意或重大过失造成的损失外，乙方在本合同项下承担的赔偿责任总额不超过甲方已实际支付的本合同金额。上述责任限额不适用于：(a) 乙方对甲方保密信息的泄露、毁损或未授权披露；(b) 乙方对甲方或第三方知识产权的侵权；(c) 乙方因违反本合同第十一至十六条相关约定而产生的赔偿责任。</w:t>
      </w:r>
    </w:p>
    <w:p w14:paraId="44F423E5">
      <w:pPr>
        <w:numPr>
          <w:ilvl w:val="0"/>
          <w:numId w:val="13"/>
        </w:numPr>
        <w:bidi w:val="0"/>
        <w:spacing w:line="360" w:lineRule="auto"/>
        <w:ind w:left="0" w:leftChars="0" w:firstLine="560" w:firstLineChars="20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因本合同产生的争议，双方应协商解决；协商不成的，任一方可向乙方所在地有管辖权的人民法院提起诉讼。</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4"/>
        <w:gridCol w:w="1704"/>
        <w:gridCol w:w="1705"/>
        <w:gridCol w:w="1705"/>
      </w:tblGrid>
      <w:tr w14:paraId="7580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7D0242B5">
            <w:pPr>
              <w:bidi w:val="0"/>
              <w:rPr>
                <w:rFonts w:hint="eastAsia"/>
              </w:rPr>
            </w:pPr>
            <w:r>
              <w:rPr>
                <w:rFonts w:hint="eastAsia"/>
              </w:rPr>
              <w:t>序号</w:t>
            </w:r>
          </w:p>
        </w:tc>
        <w:tc>
          <w:tcPr>
            <w:tcW w:w="1000" w:type="pct"/>
            <w:vAlign w:val="center"/>
          </w:tcPr>
          <w:p w14:paraId="7B6CEED0">
            <w:pPr>
              <w:bidi w:val="0"/>
              <w:rPr>
                <w:rFonts w:hint="eastAsia"/>
              </w:rPr>
            </w:pPr>
            <w:r>
              <w:rPr>
                <w:rFonts w:hint="eastAsia"/>
              </w:rPr>
              <w:t>类别</w:t>
            </w:r>
          </w:p>
        </w:tc>
        <w:tc>
          <w:tcPr>
            <w:tcW w:w="1000" w:type="pct"/>
            <w:vAlign w:val="center"/>
          </w:tcPr>
          <w:p w14:paraId="0136D366">
            <w:pPr>
              <w:bidi w:val="0"/>
              <w:rPr>
                <w:rFonts w:hint="eastAsia"/>
              </w:rPr>
            </w:pPr>
            <w:r>
              <w:rPr>
                <w:rFonts w:hint="eastAsia"/>
              </w:rPr>
              <w:t>交付内容</w:t>
            </w:r>
          </w:p>
        </w:tc>
        <w:tc>
          <w:tcPr>
            <w:tcW w:w="1000" w:type="pct"/>
            <w:vAlign w:val="center"/>
          </w:tcPr>
          <w:p w14:paraId="27CCF32B">
            <w:pPr>
              <w:bidi w:val="0"/>
              <w:rPr>
                <w:rFonts w:hint="eastAsia"/>
              </w:rPr>
            </w:pPr>
            <w:r>
              <w:rPr>
                <w:rFonts w:hint="eastAsia"/>
              </w:rPr>
              <w:t>数量</w:t>
            </w:r>
          </w:p>
        </w:tc>
        <w:tc>
          <w:tcPr>
            <w:tcW w:w="1000" w:type="pct"/>
            <w:vAlign w:val="center"/>
          </w:tcPr>
          <w:p w14:paraId="46A7CEE6">
            <w:pPr>
              <w:bidi w:val="0"/>
              <w:rPr>
                <w:rFonts w:hint="eastAsia"/>
              </w:rPr>
            </w:pPr>
            <w:r>
              <w:rPr>
                <w:rFonts w:hint="eastAsia"/>
              </w:rPr>
              <w:t>说明</w:t>
            </w:r>
          </w:p>
        </w:tc>
      </w:tr>
      <w:tr w14:paraId="0568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26AE5EB">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w:t>
            </w:r>
          </w:p>
        </w:tc>
        <w:tc>
          <w:tcPr>
            <w:tcW w:w="1000" w:type="pct"/>
            <w:vAlign w:val="center"/>
          </w:tcPr>
          <w:p w14:paraId="52D2B89D">
            <w:pPr>
              <w:bidi w:val="0"/>
              <w:rPr>
                <w:rFonts w:hint="eastAsia"/>
              </w:rPr>
            </w:pPr>
            <w:r>
              <w:rPr>
                <w:rFonts w:hint="eastAsia"/>
              </w:rPr>
              <w:t>硬件设备</w:t>
            </w:r>
          </w:p>
        </w:tc>
        <w:tc>
          <w:tcPr>
            <w:tcW w:w="1000" w:type="pct"/>
            <w:vAlign w:val="center"/>
          </w:tcPr>
          <w:p w14:paraId="2CFB33AA">
            <w:pPr>
              <w:bidi w:val="0"/>
              <w:rPr>
                <w:rFonts w:hint="eastAsia"/>
              </w:rPr>
            </w:pPr>
            <w:r>
              <w:rPr>
                <w:rFonts w:hint="default" w:ascii="Times New Roman" w:hAnsi="Times New Roman" w:cs="Times New Roman"/>
              </w:rPr>
              <w:t>AIPC</w:t>
            </w:r>
            <w:r>
              <w:rPr>
                <w:rFonts w:hint="eastAsia"/>
              </w:rPr>
              <w:t xml:space="preserve"> 级本地</w:t>
            </w:r>
            <w:r>
              <w:rPr>
                <w:rFonts w:hint="default" w:ascii="Times New Roman" w:hAnsi="Times New Roman" w:cs="Times New Roman"/>
              </w:rPr>
              <w:t xml:space="preserve"> AI </w:t>
            </w:r>
            <w:r>
              <w:rPr>
                <w:rFonts w:hint="eastAsia"/>
              </w:rPr>
              <w:t>设备</w:t>
            </w:r>
          </w:p>
        </w:tc>
        <w:tc>
          <w:tcPr>
            <w:tcW w:w="1000" w:type="pct"/>
            <w:vAlign w:val="center"/>
          </w:tcPr>
          <w:p w14:paraId="0E2430FC">
            <w:pPr>
              <w:bidi w:val="0"/>
              <w:rPr>
                <w:rFonts w:hint="eastAsia"/>
              </w:rPr>
            </w:pPr>
            <w:r>
              <w:rPr>
                <w:rFonts w:hint="eastAsia"/>
              </w:rPr>
              <w:t>以统一选购表为准</w:t>
            </w:r>
          </w:p>
        </w:tc>
        <w:tc>
          <w:tcPr>
            <w:tcW w:w="1000" w:type="pct"/>
            <w:vAlign w:val="center"/>
          </w:tcPr>
          <w:p w14:paraId="552B069B">
            <w:pPr>
              <w:bidi w:val="0"/>
              <w:rPr>
                <w:rFonts w:hint="eastAsia"/>
              </w:rPr>
            </w:pPr>
            <w:r>
              <w:rPr>
                <w:rFonts w:hint="eastAsia"/>
              </w:rPr>
              <w:t>具体型号与配置以选购表为准</w:t>
            </w:r>
          </w:p>
        </w:tc>
      </w:tr>
      <w:tr w14:paraId="4827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59BC1E35">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w:t>
            </w:r>
          </w:p>
        </w:tc>
        <w:tc>
          <w:tcPr>
            <w:tcW w:w="1000" w:type="pct"/>
            <w:vAlign w:val="center"/>
          </w:tcPr>
          <w:p w14:paraId="585202B7">
            <w:pPr>
              <w:bidi w:val="0"/>
              <w:rPr>
                <w:rFonts w:hint="eastAsia"/>
              </w:rPr>
            </w:pPr>
            <w:r>
              <w:rPr>
                <w:rFonts w:hint="eastAsia"/>
              </w:rPr>
              <w:t>硬件配套</w:t>
            </w:r>
          </w:p>
        </w:tc>
        <w:tc>
          <w:tcPr>
            <w:tcW w:w="1000" w:type="pct"/>
            <w:vAlign w:val="center"/>
          </w:tcPr>
          <w:p w14:paraId="26A84FFF">
            <w:pPr>
              <w:bidi w:val="0"/>
              <w:rPr>
                <w:rFonts w:hint="eastAsia"/>
              </w:rPr>
            </w:pPr>
            <w:r>
              <w:rPr>
                <w:rFonts w:hint="eastAsia"/>
              </w:rPr>
              <w:t xml:space="preserve">外接 </w:t>
            </w:r>
            <w:r>
              <w:rPr>
                <w:rFonts w:hint="default" w:ascii="Times New Roman" w:hAnsi="Times New Roman" w:cs="Times New Roman"/>
              </w:rPr>
              <w:t>GPU Dock</w:t>
            </w:r>
            <w:r>
              <w:rPr>
                <w:rFonts w:hint="eastAsia"/>
              </w:rPr>
              <w:t xml:space="preserve"> 或配套加速设备</w:t>
            </w:r>
          </w:p>
        </w:tc>
        <w:tc>
          <w:tcPr>
            <w:tcW w:w="1000" w:type="pct"/>
            <w:vAlign w:val="center"/>
          </w:tcPr>
          <w:p w14:paraId="1656E91F">
            <w:pPr>
              <w:bidi w:val="0"/>
              <w:rPr>
                <w:rFonts w:hint="eastAsia"/>
              </w:rPr>
            </w:pPr>
            <w:r>
              <w:rPr>
                <w:rFonts w:hint="eastAsia"/>
              </w:rPr>
              <w:t>以统一选购表为准</w:t>
            </w:r>
          </w:p>
        </w:tc>
        <w:tc>
          <w:tcPr>
            <w:tcW w:w="1000" w:type="pct"/>
            <w:vAlign w:val="center"/>
          </w:tcPr>
          <w:p w14:paraId="1EA6D2D0">
            <w:pPr>
              <w:bidi w:val="0"/>
              <w:rPr>
                <w:rFonts w:hint="eastAsia"/>
              </w:rPr>
            </w:pPr>
            <w:r>
              <w:rPr>
                <w:rFonts w:hint="eastAsia"/>
              </w:rPr>
              <w:t>是否交付及数量以选购表为准</w:t>
            </w:r>
          </w:p>
        </w:tc>
      </w:tr>
      <w:tr w14:paraId="77450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F2FCF04">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3</w:t>
            </w:r>
          </w:p>
        </w:tc>
        <w:tc>
          <w:tcPr>
            <w:tcW w:w="1000" w:type="pct"/>
            <w:vAlign w:val="center"/>
          </w:tcPr>
          <w:p w14:paraId="67DD2D56">
            <w:pPr>
              <w:bidi w:val="0"/>
              <w:rPr>
                <w:rFonts w:hint="eastAsia"/>
              </w:rPr>
            </w:pPr>
            <w:r>
              <w:rPr>
                <w:rFonts w:hint="eastAsia"/>
              </w:rPr>
              <w:t>软件系统</w:t>
            </w:r>
          </w:p>
        </w:tc>
        <w:tc>
          <w:tcPr>
            <w:tcW w:w="1000" w:type="pct"/>
            <w:vAlign w:val="center"/>
          </w:tcPr>
          <w:p w14:paraId="685D6B28">
            <w:pPr>
              <w:bidi w:val="0"/>
              <w:rPr>
                <w:rFonts w:hint="eastAsia"/>
              </w:rPr>
            </w:pPr>
            <w:r>
              <w:rPr>
                <w:rFonts w:hint="default" w:ascii="Times New Roman" w:hAnsi="Times New Roman" w:cs="Times New Roman"/>
              </w:rPr>
              <w:t xml:space="preserve">Cubecloud </w:t>
            </w:r>
            <w:r>
              <w:rPr>
                <w:rFonts w:hint="eastAsia"/>
              </w:rPr>
              <w:t xml:space="preserve">标准本地 </w:t>
            </w:r>
            <w:r>
              <w:rPr>
                <w:rFonts w:hint="default" w:ascii="Times New Roman" w:hAnsi="Times New Roman" w:cs="Times New Roman"/>
              </w:rPr>
              <w:t xml:space="preserve">AI </w:t>
            </w:r>
            <w:r>
              <w:rPr>
                <w:rFonts w:hint="eastAsia"/>
              </w:rPr>
              <w:t>层</w:t>
            </w:r>
          </w:p>
        </w:tc>
        <w:tc>
          <w:tcPr>
            <w:tcW w:w="1000" w:type="pct"/>
            <w:vAlign w:val="center"/>
          </w:tcPr>
          <w:p w14:paraId="21D5977F">
            <w:pPr>
              <w:bidi w:val="0"/>
              <w:rPr>
                <w:rFonts w:hint="eastAsia"/>
              </w:rPr>
            </w:pPr>
            <w:r>
              <w:rPr>
                <w:rFonts w:hint="eastAsia"/>
              </w:rPr>
              <w:t>以统一选购表为准</w:t>
            </w:r>
          </w:p>
        </w:tc>
        <w:tc>
          <w:tcPr>
            <w:tcW w:w="1000" w:type="pct"/>
            <w:vAlign w:val="center"/>
          </w:tcPr>
          <w:p w14:paraId="70422CE4">
            <w:pPr>
              <w:bidi w:val="0"/>
              <w:rPr>
                <w:rFonts w:hint="eastAsia"/>
              </w:rPr>
            </w:pPr>
            <w:r>
              <w:rPr>
                <w:rFonts w:hint="eastAsia"/>
              </w:rPr>
              <w:t>标准基础部署</w:t>
            </w:r>
          </w:p>
        </w:tc>
      </w:tr>
      <w:tr w14:paraId="77C8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FE7CDB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4</w:t>
            </w:r>
          </w:p>
        </w:tc>
        <w:tc>
          <w:tcPr>
            <w:tcW w:w="1000" w:type="pct"/>
            <w:vAlign w:val="center"/>
          </w:tcPr>
          <w:p w14:paraId="40E62D49">
            <w:pPr>
              <w:bidi w:val="0"/>
              <w:rPr>
                <w:rFonts w:hint="eastAsia"/>
              </w:rPr>
            </w:pPr>
            <w:r>
              <w:rPr>
                <w:rFonts w:hint="eastAsia"/>
              </w:rPr>
              <w:t>软件系统</w:t>
            </w:r>
          </w:p>
        </w:tc>
        <w:tc>
          <w:tcPr>
            <w:tcW w:w="1000" w:type="pct"/>
            <w:vAlign w:val="center"/>
          </w:tcPr>
          <w:p w14:paraId="1ED3E5C5">
            <w:pPr>
              <w:bidi w:val="0"/>
              <w:rPr>
                <w:rFonts w:hint="eastAsia"/>
              </w:rPr>
            </w:pPr>
            <w:r>
              <w:rPr>
                <w:rFonts w:hint="default" w:ascii="Times New Roman" w:hAnsi="Times New Roman" w:cs="Times New Roman"/>
              </w:rPr>
              <w:t>Cubecloud Agent OS</w:t>
            </w:r>
            <w:r>
              <w:rPr>
                <w:rFonts w:hint="eastAsia"/>
              </w:rPr>
              <w:t xml:space="preserve"> 表层</w:t>
            </w:r>
          </w:p>
        </w:tc>
        <w:tc>
          <w:tcPr>
            <w:tcW w:w="1000" w:type="pct"/>
            <w:vAlign w:val="center"/>
          </w:tcPr>
          <w:p w14:paraId="07FE27CD">
            <w:pPr>
              <w:bidi w:val="0"/>
              <w:rPr>
                <w:rFonts w:hint="eastAsia"/>
              </w:rPr>
            </w:pPr>
            <w:r>
              <w:rPr>
                <w:rFonts w:hint="eastAsia"/>
              </w:rPr>
              <w:t>以统一选购表为准</w:t>
            </w:r>
          </w:p>
        </w:tc>
        <w:tc>
          <w:tcPr>
            <w:tcW w:w="1000" w:type="pct"/>
            <w:vAlign w:val="center"/>
          </w:tcPr>
          <w:p w14:paraId="4032FA8E">
            <w:pPr>
              <w:bidi w:val="0"/>
              <w:rPr>
                <w:rFonts w:hint="eastAsia"/>
              </w:rPr>
            </w:pPr>
            <w:r>
              <w:rPr>
                <w:rFonts w:hint="eastAsia"/>
              </w:rPr>
              <w:t>标准启用</w:t>
            </w:r>
          </w:p>
        </w:tc>
      </w:tr>
      <w:tr w14:paraId="14EB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561C6B54">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5</w:t>
            </w:r>
          </w:p>
        </w:tc>
        <w:tc>
          <w:tcPr>
            <w:tcW w:w="1000" w:type="pct"/>
            <w:vAlign w:val="center"/>
          </w:tcPr>
          <w:p w14:paraId="61DBEDEB">
            <w:pPr>
              <w:bidi w:val="0"/>
              <w:rPr>
                <w:rFonts w:hint="eastAsia"/>
              </w:rPr>
            </w:pPr>
            <w:r>
              <w:rPr>
                <w:rFonts w:hint="eastAsia"/>
              </w:rPr>
              <w:t>基础部署</w:t>
            </w:r>
          </w:p>
        </w:tc>
        <w:tc>
          <w:tcPr>
            <w:tcW w:w="1000" w:type="pct"/>
            <w:vAlign w:val="center"/>
          </w:tcPr>
          <w:p w14:paraId="04329539">
            <w:pPr>
              <w:bidi w:val="0"/>
              <w:rPr>
                <w:rFonts w:hint="eastAsia"/>
              </w:rPr>
            </w:pPr>
            <w:r>
              <w:rPr>
                <w:rFonts w:hint="eastAsia"/>
              </w:rPr>
              <w:t>本地运行、访问及基础配置</w:t>
            </w:r>
          </w:p>
        </w:tc>
        <w:tc>
          <w:tcPr>
            <w:tcW w:w="1000" w:type="pct"/>
            <w:vAlign w:val="center"/>
          </w:tcPr>
          <w:p w14:paraId="4DCE2FE3">
            <w:pPr>
              <w:bidi w:val="0"/>
              <w:rPr>
                <w:rFonts w:hint="eastAsia"/>
              </w:rPr>
            </w:pPr>
            <w:r>
              <w:rPr>
                <w:rFonts w:hint="eastAsia"/>
              </w:rPr>
              <w:t>以统一选购表为准</w:t>
            </w:r>
          </w:p>
        </w:tc>
        <w:tc>
          <w:tcPr>
            <w:tcW w:w="1000" w:type="pct"/>
            <w:vAlign w:val="center"/>
          </w:tcPr>
          <w:p w14:paraId="0030C51A">
            <w:pPr>
              <w:bidi w:val="0"/>
              <w:rPr>
                <w:rFonts w:hint="eastAsia"/>
              </w:rPr>
            </w:pPr>
            <w:r>
              <w:rPr>
                <w:rFonts w:hint="eastAsia"/>
              </w:rPr>
              <w:t>不含深度业务定制</w:t>
            </w:r>
          </w:p>
        </w:tc>
      </w:tr>
      <w:tr w14:paraId="6F62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8" w:type="pct"/>
            <w:vAlign w:val="center"/>
          </w:tcPr>
          <w:p w14:paraId="3348661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6</w:t>
            </w:r>
          </w:p>
        </w:tc>
        <w:tc>
          <w:tcPr>
            <w:tcW w:w="1000" w:type="pct"/>
            <w:vAlign w:val="center"/>
          </w:tcPr>
          <w:p w14:paraId="479D3631">
            <w:pPr>
              <w:bidi w:val="0"/>
              <w:rPr>
                <w:rFonts w:hint="eastAsia"/>
              </w:rPr>
            </w:pPr>
            <w:r>
              <w:rPr>
                <w:rFonts w:hint="eastAsia"/>
              </w:rPr>
              <w:t>交接服务</w:t>
            </w:r>
          </w:p>
        </w:tc>
        <w:tc>
          <w:tcPr>
            <w:tcW w:w="1000" w:type="pct"/>
            <w:vAlign w:val="center"/>
          </w:tcPr>
          <w:p w14:paraId="48154CFD">
            <w:pPr>
              <w:bidi w:val="0"/>
              <w:rPr>
                <w:rFonts w:hint="eastAsia"/>
              </w:rPr>
            </w:pPr>
            <w:r>
              <w:rPr>
                <w:rFonts w:hint="eastAsia"/>
              </w:rPr>
              <w:t>基础使用说明</w:t>
            </w:r>
          </w:p>
        </w:tc>
        <w:tc>
          <w:tcPr>
            <w:tcW w:w="1000" w:type="pct"/>
            <w:vAlign w:val="center"/>
          </w:tcPr>
          <w:p w14:paraId="21516D69">
            <w:pPr>
              <w:bidi w:val="0"/>
              <w:rPr>
                <w:rFonts w:hint="eastAsia"/>
              </w:rPr>
            </w:pPr>
            <w:r>
              <w:rPr>
                <w:rFonts w:hint="eastAsia"/>
              </w:rPr>
              <w:t>以统一选购表为准</w:t>
            </w:r>
          </w:p>
        </w:tc>
        <w:tc>
          <w:tcPr>
            <w:tcW w:w="1000" w:type="pct"/>
            <w:vAlign w:val="center"/>
          </w:tcPr>
          <w:p w14:paraId="17FB8BAF">
            <w:pPr>
              <w:bidi w:val="0"/>
              <w:rPr>
                <w:rFonts w:hint="eastAsia"/>
              </w:rPr>
            </w:pPr>
            <w:r>
              <w:rPr>
                <w:rFonts w:hint="eastAsia"/>
              </w:rPr>
              <w:t>一次性交接</w:t>
            </w:r>
          </w:p>
        </w:tc>
      </w:tr>
    </w:tbl>
    <w:p w14:paraId="27B2EB29">
      <w:pPr>
        <w:spacing w:line="360" w:lineRule="auto"/>
        <w:jc w:val="center"/>
        <w:rPr>
          <w:rFonts w:hint="eastAsia" w:asciiTheme="minorEastAsia" w:hAnsiTheme="minorEastAsia" w:eastAsiaTheme="minorEastAsia" w:cstheme="minorEastAsia"/>
          <w:sz w:val="28"/>
          <w:szCs w:val="28"/>
        </w:rPr>
      </w:pPr>
      <w:r/>
    </w:p>
    <w:p w14:paraId="75DF0F33">
      <w:pPr>
        <w:spacing w:line="360" w:lineRule="auto"/>
        <w:jc w:val="center"/>
        <w:rPr>
          <w:rFonts w:hint="eastAsia" w:asciiTheme="minorEastAsia" w:hAnsiTheme="minorEastAsia" w:eastAsiaTheme="minorEastAsia" w:cstheme="minorEastAsia"/>
          <w:sz w:val="28"/>
          <w:szCs w:val="28"/>
        </w:rPr>
      </w:pPr>
      <w:r/>
    </w:p>
    <w:p w14:paraId="0759E0E1">
      <w:pPr>
        <w:spacing w:line="360" w:lineRule="auto"/>
        <w:jc w:val="center"/>
        <w:rPr>
          <w:rFonts w:hint="eastAsia" w:asciiTheme="minorEastAsia" w:hAnsiTheme="minorEastAsia" w:eastAsiaTheme="minorEastAsia" w:cstheme="minorEastAsia"/>
          <w:sz w:val="28"/>
          <w:szCs w:val="28"/>
        </w:rPr>
      </w:pPr>
      <w:r/>
    </w:p>
    <w:p>
      <w:pPr/>
      <w:r>
        <w:t>第十一条  合同的变更、解除与终止</w:t>
      </w:r>
    </w:p>
    <w:p>
      <w:pPr/>
      <w:r>
        <w:t>（一）经双方协商一致，可书面变更或解除本合同。</w:t>
      </w:r>
    </w:p>
    <w:p>
      <w:pPr/>
      <w:r>
        <w:t>（二）甲方付款后单方解除的，乙方已发生的备货、部署、定制、外采及人工成本由甲方承担，且不低于本合同总额的 30%；乙方在收到前述款项及成本补偿后 7 个工作日内完成交接与退款。</w:t>
      </w:r>
    </w:p>
    <w:p>
      <w:pPr/>
      <w:r>
        <w:t>（三）乙方无正当理由未能在交付周期内完成交付且经 15 日书面催告仍未改正的，甲方有权解除本合同；乙方应返还甲方已支付但未履行部分对应的款项，并赔偿甲方因此产生的直接损失。</w:t>
      </w:r>
    </w:p>
    <w:p>
      <w:pPr/>
      <w:r>
        <w:t>（四）任一方因不可抗力导致本合同无法履行且持续超过 30 日的，另一方有权书面解除本合同；已交付部分按本合同价格结算，乙方已发生的合理备货与定制成本由双方按实际发生额分摊。</w:t>
      </w:r>
    </w:p>
    <w:p>
      <w:pPr/>
      <w:r>
        <w:t>（五）本合同正常履行完毕或经双方书面确认终止后，下列义务继续有效：保密义务、知识产权归属、数据返还与删除、争议解决。</w:t>
      </w:r>
    </w:p>
    <w:p>
      <w:pPr/>
      <w:r/>
    </w:p>
    <w:p>
      <w:pPr/>
      <w:r/>
    </w:p>
    <w:p>
      <w:pPr/>
      <w:r/>
    </w:p>
    <w:p>
      <w:pPr/>
      <w:r/>
    </w:p>
    <w:p>
      <w:pPr/>
      <w:r/>
    </w:p>
    <w:p>
      <w:pPr/>
      <w:r>
        <w:t>第十二条  数据返还与删除</w:t>
      </w:r>
    </w:p>
    <w:p>
      <w:pPr/>
      <w:r>
        <w:t>（一）本合同项下，乙方因提供服务而收集、存储或处理的甲方业务数据、客户文件、配置、prompt、workflow、知识库索引、context graph 及全部衍生文件（以下简称'甲方数据'），均归甲方或甲方指定的权利人所有。</w:t>
      </w:r>
    </w:p>
    <w:p>
      <w:pPr/>
      <w:r>
        <w:t>本合同终止或解除后 30 日内，乙方应以原始格式或通用、可机读的电子格式返还甲方数据；返还方式包括但不限于本地导出、加密包交付或甲方书面认可的其他方式</w:t>
      </w:r>
    </w:p>
    <w:p>
      <w:pPr/>
      <w:r>
        <w:t>（三）甲方确认收讫并书面通知乙方后，乙方应在 7 日内删除其控制范围内（含备份与镜像）全部甲方数据；删除完成后，乙方应向甲方提供书面删除证明。</w:t>
      </w:r>
    </w:p>
    <w:p>
      <w:pPr/>
      <w:r>
        <w:t>（四）若乙方违反本条约定，应按未返还或未删除数据所涉客户事项的最高保密级别对应的合理赔偿额向甲方承担赔偿责任。但乙方依法律法规或监管要求必须留存的最小必要副本除外；该等留存副本仅用于合规目的，不得用于本合同以外之用途。</w:t>
      </w:r>
    </w:p>
    <w:p>
      <w:pPr/>
      <w:r/>
    </w:p>
    <w:p>
      <w:pPr/>
      <w:r/>
    </w:p>
    <w:p>
      <w:pPr/>
      <w:r/>
    </w:p>
    <w:p>
      <w:pPr/>
      <w:r/>
    </w:p>
    <w:p>
      <w:pPr/>
      <w:r>
        <w:t>第十三条  反向工程与竞争性使用限制</w:t>
      </w:r>
    </w:p>
    <w:p>
      <w:pPr/>
      <w:r>
        <w:t>（一）甲方不得对乙方系统（包括 Cubecloud 标准本地 AI 层、Cubecloud Agent OS 表层及其更新版本）进行反向工程、反编译、反汇编；法律法规明示允许的兼容性目的除外，且该等行为不得超出实现兼容性所必需的范围。</w:t>
      </w:r>
    </w:p>
    <w:p>
      <w:pPr/>
      <w:r>
        <w:t>（二）甲方不得基于乙方系统开发具有实质性竞争关系的产品或服务，亦不得在剔除乙方版权、商标或标识后对外分发。</w:t>
      </w:r>
    </w:p>
    <w:p>
      <w:pPr/>
      <w:r>
        <w:t>（三）本条不限制甲方对自身提供的数据、文件、playbook、模板、workflow 及其他业务资料的使用与处分。</w:t>
      </w:r>
    </w:p>
    <w:p>
      <w:pPr/>
      <w:r/>
    </w:p>
    <w:p>
      <w:pPr/>
      <w:r/>
    </w:p>
    <w:p>
      <w:pPr/>
      <w:r/>
    </w:p>
    <w:p>
      <w:pPr/>
      <w:r>
        <w:t>第十四条  不可抗力</w:t>
      </w:r>
    </w:p>
    <w:p>
      <w:pPr/>
      <w:r>
        <w:t>（一）不可抗力是指不能预见、不能避免且不能克服的客观情况，包括但不限于自然灾害、战争、流行病、政府行为、电信骨干网络中断、行业级供应链断裂。</w:t>
      </w:r>
    </w:p>
    <w:p>
      <w:pPr/>
      <w:r>
        <w:t>（二）发生不可抗力的一方应在事件发生之日起 5 个工作日内书面通知另一方，并提供有关证明文件。</w:t>
      </w:r>
    </w:p>
    <w:p>
      <w:pPr/>
      <w:r>
        <w:t>（三）因不可抗力导致本合同部分或全部无法履行的，受影响一方在不可抗力持续期间免于承担违约责任；合同继续可行的部分应继续履行。</w:t>
      </w:r>
    </w:p>
    <w:p>
      <w:pPr/>
      <w:r>
        <w:t>（四）不可抗力持续超过 30 日的，任一方有权书面解除本合同；已交付部分按本合同价格结算。</w:t>
      </w:r>
    </w:p>
    <w:p>
      <w:pPr/>
      <w:r/>
    </w:p>
    <w:p>
      <w:pPr/>
      <w:r/>
    </w:p>
    <w:p>
      <w:pPr/>
      <w:r/>
    </w:p>
    <w:p>
      <w:pPr/>
      <w:r/>
    </w:p>
    <w:p>
      <w:pPr/>
      <w:r>
        <w:t>第十五条  适用法律与争议解决</w:t>
      </w:r>
    </w:p>
    <w:p>
      <w:pPr/>
      <w:r>
        <w:t>（一）本合同的订立、效力、解释、履行及争议解决均适用中华人民共和国法律（为本合同之目的不包括香港特别行政区、澳门特别行政区和台湾地区）。</w:t>
      </w:r>
    </w:p>
    <w:p>
      <w:pPr/>
      <w:r>
        <w:t>（二）因本合同产生的争议，双方应首先通过友好协商解决；协商不成的，任一方可向合同签署地有管辖权的人民法院提起诉讼。</w:t>
      </w:r>
    </w:p>
    <w:p>
      <w:pPr/>
      <w:r>
        <w:t>（三）诉讼期间，双方应继续履行本合同中未涉及争议的条款。</w:t>
      </w:r>
    </w:p>
    <w:p>
      <w:pPr/>
      <w:r/>
    </w:p>
    <w:p>
      <w:pPr/>
      <w:r/>
    </w:p>
    <w:p>
      <w:pPr/>
      <w:r/>
    </w:p>
    <w:p>
      <w:pPr/>
      <w:r>
        <w:t>第十六条  电子签章、通知与附件优先级</w:t>
      </w:r>
    </w:p>
    <w:p>
      <w:pPr/>
      <w:r>
        <w:t>（一）本合同经双方法定代表人或授权代表签字并加盖公章后生效；经双方书面同意采用电子签章的，电子签章与纸质签章具有同等法律效力。</w:t>
      </w:r>
    </w:p>
    <w:p>
      <w:pPr/>
      <w:r>
        <w:t>（二）本合同项下任何通知、要求或确认均应以书面形式作出，并通过双方书面确认的电子邮箱或专人送达方式送达；送达地址以本合同签署页所列为准。</w:t>
      </w:r>
    </w:p>
    <w:p>
      <w:pPr/>
      <w:r>
        <w:t>（三）本合同的各附件与正文具有同等法律效力。解释顺序如下：(1) 本合同正文；(2) 附件一交付清单；(3) 附件二统一选购表；(4) 附件三一体机产品配置说明（如有）。</w:t>
      </w:r>
    </w:p>
    <w:p>
      <w:pPr/>
      <w:r/>
    </w:p>
    <w:p>
      <w:pPr/>
      <w:r/>
    </w:p>
    <w:p>
      <w:pPr/>
      <w:r/>
    </w:p>
    <w:p w14:paraId="138A4DDD">
      <w:pPr>
        <w:pStyle w:val="2"/>
        <w:bidi w:val="0"/>
        <w:spacing w:line="360" w:lineRule="auto"/>
        <w:rPr>
          <w:rFonts w:hint="eastAsia"/>
        </w:rPr>
      </w:pPr>
      <w:r>
        <w:rPr>
          <w:rFonts w:hint="default"/>
        </w:rPr>
        <w:t>第</w:t>
      </w:r>
      <w:r>
        <w:rPr>
          <w:rFonts w:hint="eastAsia"/>
          <w:lang w:val="en-US" w:eastAsia="zh-CN"/>
        </w:rPr>
        <w:t>十七</w:t>
      </w:r>
      <w:r>
        <w:rPr>
          <w:rFonts w:hint="default"/>
        </w:rPr>
        <w:t>条</w:t>
      </w:r>
      <w:r>
        <w:rPr>
          <w:rFonts w:hint="eastAsia"/>
          <w:lang w:val="en-US" w:eastAsia="zh-CN"/>
        </w:rPr>
        <w:t xml:space="preserve">  </w:t>
      </w:r>
      <w:r>
        <w:rPr>
          <w:rFonts w:hint="eastAsia"/>
        </w:rPr>
        <w:t>附件与生效</w:t>
      </w:r>
    </w:p>
    <w:p w14:paraId="3FDA5CC8">
      <w:pPr>
        <w:numPr>
          <w:ilvl w:val="0"/>
          <w:numId w:val="14"/>
        </w:numPr>
        <w:bidi w:val="0"/>
        <w:spacing w:line="360" w:lineRule="auto"/>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本合同自双方签字或盖章之日起生效。</w:t>
      </w:r>
    </w:p>
    <w:p w14:paraId="14D09090">
      <w:pPr>
        <w:numPr>
          <w:ilvl w:val="0"/>
          <w:numId w:val="14"/>
        </w:numPr>
        <w:bidi w:val="0"/>
        <w:spacing w:line="360" w:lineRule="auto"/>
        <w:rPr>
          <w:rFonts w:hint="eastAsia" w:asciiTheme="minorEastAsia" w:hAnsiTheme="minorEastAsia" w:eastAsiaTheme="minorEastAsia" w:cstheme="minorEastAsia"/>
          <w:sz w:val="28"/>
          <w:szCs w:val="28"/>
        </w:rPr>
      </w:pPr>
      <w:r>
        <w:rPr>
          <w:rFonts w:hint="eastAsia" w:ascii="方正仿宋_GB2312" w:hAnsi="方正仿宋_GB2312" w:eastAsia="方正仿宋_GB2312" w:cs="方正仿宋_GB2312"/>
        </w:rPr>
        <w:t>本合同一式 4 份，甲乙双方各执 2 份，具有同等法律效力。</w:t>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rPr>
      </w:r>
      <w:r>
        <w:rPr>
          <w:rFonts w:hint="eastAsia" w:ascii="方正仿宋_GB2312" w:hAnsi="方正仿宋_GB2312" w:cs="方正仿宋_GB2312"/>
          <w:u w:val="single"/>
          <w:lang w:val="en-US" w:eastAsia="zh-CN"/>
        </w:rPr>
      </w:r>
      <w:r>
        <w:rPr>
          <w:rFonts w:hint="eastAsia" w:ascii="方正仿宋_GB2312" w:hAnsi="方正仿宋_GB2312" w:eastAsia="方正仿宋_GB2312" w:cs="方正仿宋_GB2312"/>
        </w:rPr>
      </w:r>
    </w:p>
    <w:p w14:paraId="5094279C">
      <w:pPr>
        <w:numPr>
          <w:ilvl w:val="0"/>
          <w:numId w:val="14"/>
        </w:numPr>
        <w:bidi w:val="0"/>
        <w:spacing w:line="360" w:lineRule="auto"/>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本合同附件包括：</w:t>
      </w:r>
    </w:p>
    <w:p w14:paraId="16EB0CB4">
      <w:pPr>
        <w:numPr>
          <w:ilvl w:val="0"/>
          <w:numId w:val="15"/>
        </w:numPr>
        <w:bidi w:val="0"/>
        <w:spacing w:line="360" w:lineRule="auto"/>
        <w:ind w:left="0" w:leftChars="0" w:firstLine="560" w:firstLineChars="0"/>
        <w:rPr>
          <w:rFonts w:hint="eastAsia" w:ascii="方正仿宋_GB2312" w:hAnsi="方正仿宋_GB2312" w:eastAsia="方正仿宋_GB2312" w:cs="方正仿宋_GB2312"/>
          <w:sz w:val="28"/>
          <w:szCs w:val="28"/>
        </w:rPr>
      </w:pPr>
      <w:r>
        <w:rPr>
          <w:rFonts w:hint="eastAsia" w:ascii="方正仿宋_GB2312" w:hAnsi="方正仿宋_GB2312" w:eastAsia="方正仿宋_GB2312" w:cs="方正仿宋_GB2312"/>
          <w:sz w:val="28"/>
          <w:szCs w:val="28"/>
        </w:rPr>
        <w:t>附件一：《硬件及标准系统交付清单》；</w:t>
      </w:r>
    </w:p>
    <w:p w14:paraId="36C860C1">
      <w:pPr>
        <w:numPr>
          <w:ilvl w:val="0"/>
          <w:numId w:val="15"/>
        </w:numPr>
        <w:bidi w:val="0"/>
        <w:spacing w:line="360" w:lineRule="auto"/>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sz w:val="28"/>
          <w:szCs w:val="28"/>
        </w:rPr>
        <w:t>附件二：《智方云产品及服务统一选购表》（编号 SKU-2026-P01-V1，本合同与《智方云法律 Agent 应用定制服务合同》共同附件）。</w:t>
      </w:r>
    </w:p>
    <w:p w14:paraId="47170307">
      <w:pPr>
        <w:numPr>
          <w:ilvl w:val="0"/>
          <w:numId w:val="14"/>
        </w:numPr>
        <w:bidi w:val="0"/>
        <w:spacing w:line="360" w:lineRule="auto"/>
        <w:rPr>
          <w:rFonts w:hint="eastAsia" w:ascii="方正仿宋_GB2312" w:hAnsi="方正仿宋_GB2312" w:eastAsia="方正仿宋_GB2312" w:cs="方正仿宋_GB2312"/>
        </w:rPr>
      </w:pPr>
      <w:r>
        <w:rPr>
          <w:rFonts w:hint="eastAsia"/>
        </w:rPr>
        <w:t>本合同未尽事宜，由双方另行签署补充协议。</w:t>
      </w:r>
    </w:p>
    <w:p w14:paraId="185D503B">
      <w:pPr>
        <w:bidi w:val="0"/>
        <w:rPr>
          <w:rFonts w:hint="eastAsia"/>
        </w:rPr>
      </w:pPr>
      <w:r/>
    </w:p>
    <w:p w14:paraId="61A23CFF">
      <w:r/>
    </w:p>
    <w:p w14:paraId="22249AFF">
      <w:pPr>
        <w:bidi w:val="0"/>
        <w:rPr>
          <w:b/>
          <w:bCs/>
        </w:rPr>
      </w:pPr>
      <w:r>
        <w:rPr>
          <w:b/>
          <w:bCs/>
        </w:rPr>
        <w:t>附件一：硬件及标准系统交付清单</w:t>
      </w:r>
    </w:p>
    <w:p w14:paraId="7ED0E5A3">
      <w:pPr>
        <w:bidi w:val="0"/>
        <w:spacing w:line="360" w:lineRule="auto"/>
        <w:jc w:val="center"/>
        <w:rPr>
          <w:rFonts w:hint="eastAsia"/>
        </w:rPr>
      </w:pPr>
      <w:r>
        <w:rPr>
          <w:rFonts w:hint="eastAsia"/>
        </w:rPr>
        <w:t>以下无正文，为签署页。</w:t>
      </w:r>
    </w:p>
    <w:p w14:paraId="56F71F5B">
      <w:pPr>
        <w:spacing w:line="360" w:lineRule="auto"/>
        <w:rPr>
          <w:rFonts w:hint="eastAsia" w:asciiTheme="minorEastAsia" w:hAnsiTheme="minorEastAsia" w:eastAsiaTheme="minorEastAsia" w:cstheme="minorEastAsia"/>
          <w:sz w:val="28"/>
          <w:szCs w:val="28"/>
        </w:rPr>
      </w:pPr>
      <w:r/>
    </w:p>
    <w:p w14:paraId="01E5BBE7">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r/>
    </w:p>
    <w:p w14:paraId="7F7A3CEA">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r/>
    </w:p>
    <w:p w14:paraId="275A56D6">
      <w:pPr>
        <w:bidi w:val="0"/>
        <w:spacing w:line="360" w:lineRule="auto"/>
        <w:rPr>
          <w:rFonts w:hint="eastAsia"/>
        </w:rPr>
      </w:pPr>
      <w:r>
        <w:rPr>
          <w:rFonts w:hint="eastAsia"/>
        </w:rPr>
        <w:t>甲方（盖章）：</w:t>
      </w:r>
    </w:p>
    <w:p w14:paraId="2EEC5732">
      <w:pPr>
        <w:bidi w:val="0"/>
        <w:spacing w:line="360" w:lineRule="auto"/>
        <w:rPr>
          <w:rFonts w:hint="eastAsia"/>
        </w:rPr>
      </w:pPr>
      <w:r>
        <w:rPr>
          <w:rFonts w:hint="eastAsia"/>
        </w:rPr>
        <w:t>授权代表签字：</w:t>
      </w:r>
    </w:p>
    <w:p w14:paraId="218D1341">
      <w:pPr>
        <w:bidi w:val="0"/>
        <w:spacing w:line="360" w:lineRule="auto"/>
        <w:rPr>
          <w:rFonts w:hint="eastAsia"/>
        </w:rPr>
      </w:pPr>
      <w:r>
        <w:rPr>
          <w:rFonts w:hint="eastAsia"/>
        </w:rPr>
        <w:t>日期：</w:t>
      </w:r>
    </w:p>
    <w:p w14:paraId="218D1341">
      <w:pPr>
        <w:bidi w:val="0"/>
        <w:spacing w:line="360" w:lineRule="auto"/>
        <w:rPr>
          <w:rFonts w:hint="eastAsia"/>
        </w:rPr>
      </w:pPr>
      <w:r>
        <w:rPr>
          <w:rFonts w:hint="eastAsia"/>
        </w:rPr>
        <w:t>合同签订于：____ 省 ____ 市 ____ 区</w:t>
      </w:r>
    </w:p>
    <w:p w14:paraId="2264CD5F">
      <w:pPr>
        <w:bidi w:val="0"/>
        <w:spacing w:line="360" w:lineRule="auto"/>
        <w:rPr>
          <w:rFonts w:hint="eastAsia"/>
        </w:rPr>
      </w:pPr>
      <w:r/>
    </w:p>
    <w:p w14:paraId="5309E41F">
      <w:pPr>
        <w:bidi w:val="0"/>
        <w:spacing w:line="360" w:lineRule="auto"/>
        <w:rPr>
          <w:rFonts w:hint="eastAsia"/>
        </w:rPr>
      </w:pPr>
      <w:r/>
    </w:p>
    <w:p w14:paraId="1FE6D44E">
      <w:pPr>
        <w:bidi w:val="0"/>
        <w:spacing w:line="360" w:lineRule="auto"/>
        <w:rPr>
          <w:rFonts w:hint="eastAsia"/>
        </w:rPr>
      </w:pPr>
      <w:r/>
    </w:p>
    <w:p w14:paraId="5AE784F0">
      <w:pPr>
        <w:bidi w:val="0"/>
        <w:spacing w:line="360" w:lineRule="auto"/>
        <w:rPr>
          <w:rFonts w:hint="eastAsia"/>
        </w:rPr>
      </w:pPr>
      <w:r/>
    </w:p>
    <w:p w14:paraId="6CBA9582">
      <w:pPr>
        <w:bidi w:val="0"/>
        <w:spacing w:line="360" w:lineRule="auto"/>
        <w:rPr>
          <w:rFonts w:hint="eastAsia"/>
        </w:rPr>
      </w:pPr>
      <w:r/>
    </w:p>
    <w:p w14:paraId="5C8A9AC1">
      <w:pPr>
        <w:bidi w:val="0"/>
        <w:spacing w:line="360" w:lineRule="auto"/>
        <w:rPr>
          <w:rFonts w:hint="eastAsia"/>
        </w:rPr>
      </w:pPr>
      <w:r/>
    </w:p>
    <w:p w14:paraId="6E3747E3">
      <w:pPr>
        <w:bidi w:val="0"/>
        <w:spacing w:line="360" w:lineRule="auto"/>
        <w:rPr>
          <w:rFonts w:hint="eastAsia"/>
        </w:rPr>
      </w:pPr>
      <w:r/>
    </w:p>
    <w:p w14:paraId="45D73E0C">
      <w:pPr>
        <w:bidi w:val="0"/>
        <w:spacing w:line="360" w:lineRule="auto"/>
        <w:rPr>
          <w:rFonts w:hint="eastAsia"/>
        </w:rPr>
      </w:pPr>
      <w:r>
        <w:rPr>
          <w:rFonts w:hint="eastAsia"/>
        </w:rPr>
        <w:t>乙方（盖章）：</w:t>
      </w:r>
    </w:p>
    <w:p w14:paraId="10C54B54">
      <w:pPr>
        <w:bidi w:val="0"/>
        <w:spacing w:line="360" w:lineRule="auto"/>
        <w:rPr>
          <w:rFonts w:hint="eastAsia"/>
        </w:rPr>
      </w:pPr>
      <w:r>
        <w:rPr>
          <w:rFonts w:hint="eastAsia"/>
        </w:rPr>
        <w:t>授权代表签字：</w:t>
      </w:r>
    </w:p>
    <w:p w14:paraId="4E47AD34">
      <w:pPr>
        <w:bidi w:val="0"/>
        <w:spacing w:line="360" w:lineRule="auto"/>
        <w:rPr>
          <w:rFonts w:hint="eastAsia"/>
        </w:rPr>
      </w:pPr>
      <w:r>
        <w:rPr>
          <w:rFonts w:hint="eastAsia"/>
        </w:rPr>
        <w:t>日期：</w:t>
      </w:r>
    </w:p>
    <w:sectPr>
      <w:headerReference r:id="rId5" w:type="default"/>
      <w:footerReference r:id="rId6" w:type="default"/>
      <w:headerReference w:type="first" r:id="rId11"/>
      <w:headerReference w:type="even" r:id="rId12"/>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CAD60712-E124-44D2-AD0F-8126C11D8DD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DC938A3-E5B4-49D1-A8F4-38BF3FC57960}"/>
  </w:font>
  <w:font w:name="方正仿宋_GB2312">
    <w:panose1 w:val="02000000000000000000"/>
    <w:charset w:val="86"/>
    <w:family w:val="auto"/>
    <w:pitch w:val="default"/>
    <w:sig w:usb0="A00002BF" w:usb1="184F6CFA" w:usb2="00000012" w:usb3="00000000" w:csb0="00040001" w:csb1="00000000"/>
    <w:embedRegular r:id="rId3" w:fontKey="{4F55F102-DDB0-4FCB-9BF2-3D2D081F61FC}"/>
  </w:font>
  <w:font w:name="方正小标宋简体">
    <w:panose1 w:val="02010600010101010101"/>
    <w:charset w:val="86"/>
    <w:family w:val="auto"/>
    <w:pitch w:val="default"/>
    <w:sig w:usb0="00000001" w:usb1="080E0000" w:usb2="00000000" w:usb3="00000000" w:csb0="00040000" w:csb1="00000000"/>
    <w:embedRegular r:id="rId4" w:fontKey="{AB8577B8-2B88-476A-9F13-E42DBE9912BA}"/>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2F3CF">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05BE1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05BE14">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82783">
    <w:pPr>
      <w:pStyle w:val="13"/>
    </w:pPr>
    <w:r>
      <w:rPr>
        <w:rFonts w:hint="eastAsia"/>
      </w:rPr>
      <w:ptab w:relativeTo="margin" w:alignment="right" w:leader="none"/>
    </w:r>
    <w:r>
      <w:rPr>
        <w:rFonts w:hint="eastAsia"/>
      </w:rPr>
      <w:t>CUBECLOUD-HWOS-2026-P01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70B6F7"/>
    <w:multiLevelType w:val="singleLevel"/>
    <w:tmpl w:val="8870B6F7"/>
    <w:lvl w:ilvl="0" w:tentative="0">
      <w:start w:val="1"/>
      <w:numFmt w:val="decimal"/>
      <w:suff w:val="space"/>
      <w:lvlText w:val="(%1)"/>
      <w:lvlJc w:val="left"/>
      <w:pPr>
        <w:ind w:left="425" w:firstLine="57"/>
      </w:pPr>
      <w:rPr>
        <w:rFonts w:hint="default" w:ascii="方正仿宋_GB2312" w:hAnsi="方正仿宋_GB2312" w:eastAsia="方正仿宋_GB2312" w:cs="方正仿宋_GB2312"/>
        <w:sz w:val="28"/>
        <w:szCs w:val="28"/>
      </w:rPr>
    </w:lvl>
  </w:abstractNum>
  <w:abstractNum w:abstractNumId="1">
    <w:nsid w:val="966F0904"/>
    <w:multiLevelType w:val="singleLevel"/>
    <w:tmpl w:val="966F0904"/>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2">
    <w:nsid w:val="A415228B"/>
    <w:multiLevelType w:val="singleLevel"/>
    <w:tmpl w:val="A415228B"/>
    <w:lvl w:ilvl="0" w:tentative="0">
      <w:start w:val="1"/>
      <w:numFmt w:val="decimal"/>
      <w:suff w:val="space"/>
      <w:lvlText w:val="(%1)"/>
      <w:lvlJc w:val="left"/>
      <w:pPr>
        <w:ind w:left="425" w:firstLine="57"/>
      </w:pPr>
      <w:rPr>
        <w:rFonts w:hint="default" w:ascii="方正仿宋_GB2312" w:hAnsi="方正仿宋_GB2312" w:eastAsia="方正仿宋_GB2312" w:cs="方正仿宋_GB2312"/>
        <w:sz w:val="28"/>
        <w:szCs w:val="28"/>
      </w:rPr>
    </w:lvl>
  </w:abstractNum>
  <w:abstractNum w:abstractNumId="3">
    <w:nsid w:val="A8840E71"/>
    <w:multiLevelType w:val="singleLevel"/>
    <w:tmpl w:val="A8840E71"/>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4">
    <w:nsid w:val="AAA3C45D"/>
    <w:multiLevelType w:val="singleLevel"/>
    <w:tmpl w:val="AAA3C45D"/>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5">
    <w:nsid w:val="B62DF8A4"/>
    <w:multiLevelType w:val="singleLevel"/>
    <w:tmpl w:val="B62DF8A4"/>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6">
    <w:nsid w:val="BDBF4F60"/>
    <w:multiLevelType w:val="multilevel"/>
    <w:tmpl w:val="BDBF4F60"/>
    <w:lvl w:ilvl="0" w:tentative="0">
      <w:start w:val="1"/>
      <w:numFmt w:val="decimal"/>
      <w:lvlText w:val="%1."/>
      <w:lvlJc w:val="left"/>
      <w:pPr>
        <w:ind w:left="720" w:hanging="360"/>
      </w:pPr>
      <w:rPr>
        <w:rFonts w:hint="default" w:ascii="方正仿宋_GB2312" w:hAnsi="方正仿宋_GB2312" w:eastAsia="方正仿宋_GB2312" w:cs="方正仿宋_GB2312"/>
        <w:sz w:val="28"/>
        <w:szCs w:val="28"/>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C71FC87A"/>
    <w:multiLevelType w:val="singleLevel"/>
    <w:tmpl w:val="C71FC87A"/>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8">
    <w:nsid w:val="0872A084"/>
    <w:multiLevelType w:val="singleLevel"/>
    <w:tmpl w:val="0872A084"/>
    <w:lvl w:ilvl="0" w:tentative="0">
      <w:start w:val="1"/>
      <w:numFmt w:val="decimal"/>
      <w:suff w:val="space"/>
      <w:lvlText w:val="(%1)"/>
      <w:lvlJc w:val="left"/>
      <w:pPr>
        <w:ind w:left="425" w:hanging="425"/>
      </w:pPr>
      <w:rPr>
        <w:rFonts w:hint="default" w:ascii="方正仿宋_GB2312" w:hAnsi="方正仿宋_GB2312" w:eastAsia="方正仿宋_GB2312" w:cs="方正仿宋_GB2312"/>
        <w:sz w:val="28"/>
        <w:szCs w:val="28"/>
      </w:rPr>
    </w:lvl>
  </w:abstractNum>
  <w:abstractNum w:abstractNumId="9">
    <w:nsid w:val="135DED60"/>
    <w:multiLevelType w:val="singleLevel"/>
    <w:tmpl w:val="135DED60"/>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10">
    <w:nsid w:val="287B1C3D"/>
    <w:multiLevelType w:val="singleLevel"/>
    <w:tmpl w:val="287B1C3D"/>
    <w:lvl w:ilvl="0" w:tentative="0">
      <w:start w:val="1"/>
      <w:numFmt w:val="decimal"/>
      <w:suff w:val="nothing"/>
      <w:lvlText w:val="%1．"/>
      <w:lvlJc w:val="left"/>
      <w:pPr>
        <w:ind w:left="0" w:firstLine="400"/>
      </w:pPr>
      <w:rPr>
        <w:rFonts w:hint="default"/>
      </w:rPr>
    </w:lvl>
  </w:abstractNum>
  <w:abstractNum w:abstractNumId="11">
    <w:nsid w:val="40D3B1D2"/>
    <w:multiLevelType w:val="singleLevel"/>
    <w:tmpl w:val="40D3B1D2"/>
    <w:lvl w:ilvl="0" w:tentative="0">
      <w:start w:val="1"/>
      <w:numFmt w:val="decimal"/>
      <w:suff w:val="nothing"/>
      <w:lvlText w:val="%1．"/>
      <w:lvlJc w:val="left"/>
      <w:pPr>
        <w:ind w:left="0" w:firstLine="400"/>
      </w:pPr>
      <w:rPr>
        <w:rFonts w:hint="default"/>
      </w:rPr>
    </w:lvl>
  </w:abstractNum>
  <w:abstractNum w:abstractNumId="12">
    <w:nsid w:val="4F842B53"/>
    <w:multiLevelType w:val="singleLevel"/>
    <w:tmpl w:val="4F842B53"/>
    <w:lvl w:ilvl="0" w:tentative="0">
      <w:start w:val="1"/>
      <w:numFmt w:val="decimal"/>
      <w:suff w:val="space"/>
      <w:lvlText w:val="(%1)"/>
      <w:lvlJc w:val="left"/>
      <w:pPr>
        <w:ind w:left="425" w:hanging="425"/>
      </w:pPr>
      <w:rPr>
        <w:rFonts w:hint="default"/>
      </w:rPr>
    </w:lvl>
  </w:abstractNum>
  <w:abstractNum w:abstractNumId="13">
    <w:nsid w:val="63161719"/>
    <w:multiLevelType w:val="singleLevel"/>
    <w:tmpl w:val="63161719"/>
    <w:lvl w:ilvl="0" w:tentative="0">
      <w:start w:val="1"/>
      <w:numFmt w:val="decimal"/>
      <w:suff w:val="space"/>
      <w:lvlText w:val="(%1)"/>
      <w:lvlJc w:val="left"/>
      <w:pPr>
        <w:ind w:left="425" w:firstLine="57"/>
      </w:pPr>
      <w:rPr>
        <w:rFonts w:hint="default" w:ascii="方正仿宋_GB2312" w:hAnsi="方正仿宋_GB2312" w:eastAsia="方正仿宋_GB2312" w:cs="方正仿宋_GB2312"/>
      </w:rPr>
    </w:lvl>
  </w:abstractNum>
  <w:abstractNum w:abstractNumId="14">
    <w:nsid w:val="6926EF94"/>
    <w:multiLevelType w:val="multilevel"/>
    <w:tmpl w:val="6926EF94"/>
    <w:lvl w:ilvl="0" w:tentative="0">
      <w:start w:val="1"/>
      <w:numFmt w:val="decimal"/>
      <w:suff w:val="space"/>
      <w:lvlText w:val="%1."/>
      <w:lvlJc w:val="left"/>
      <w:pPr>
        <w:ind w:left="720" w:hanging="360"/>
      </w:pPr>
      <w:rPr>
        <w:rFonts w:hint="default" w:ascii="方正仿宋_GB2312" w:hAnsi="方正仿宋_GB2312" w:eastAsia="方正仿宋_GB2312" w:cs="方正仿宋_GB2312"/>
        <w:sz w:val="28"/>
        <w:szCs w:val="28"/>
      </w:rPr>
    </w:lvl>
    <w:lvl w:ilvl="1" w:tentative="0">
      <w:start w:val="1"/>
      <w:numFmt w:val="bullet"/>
      <w:lvlText w:val="o"/>
      <w:lvlJc w:val="left"/>
      <w:pPr>
        <w:ind w:left="1440" w:hanging="360"/>
      </w:pPr>
      <w:rPr>
        <w:rFonts w:hint="default" w:ascii="Courier New" w:hAnsi="Courier New" w:cs="Courier New"/>
        <w:sz w:val="20"/>
      </w:rPr>
    </w:lvl>
  </w:abstractNum>
  <w:num w:numId="1">
    <w:abstractNumId w:val="4"/>
  </w:num>
  <w:num w:numId="2">
    <w:abstractNumId w:val="1"/>
  </w:num>
  <w:num w:numId="3">
    <w:abstractNumId w:val="9"/>
  </w:num>
  <w:num w:numId="4">
    <w:abstractNumId w:val="8"/>
  </w:num>
  <w:num w:numId="5">
    <w:abstractNumId w:val="10"/>
  </w:num>
  <w:num w:numId="6">
    <w:abstractNumId w:val="6"/>
  </w:num>
  <w:num w:numId="7">
    <w:abstractNumId w:val="0"/>
  </w:num>
  <w:num w:numId="8">
    <w:abstractNumId w:val="14"/>
  </w:num>
  <w:num w:numId="9">
    <w:abstractNumId w:val="13"/>
  </w:num>
  <w:num w:numId="10">
    <w:abstractNumId w:val="2"/>
  </w:num>
  <w:num w:numId="11">
    <w:abstractNumId w:val="5"/>
  </w:num>
  <w:num w:numId="12">
    <w:abstractNumId w:val="3"/>
  </w:num>
  <w:num w:numId="13">
    <w:abstractNumId w:val="11"/>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AE0872"/>
    <w:rsid w:val="477F5603"/>
    <w:rsid w:val="4C927702"/>
    <w:rsid w:val="783B4874"/>
    <w:rsid w:val="7BFF67FA"/>
    <w:rsid w:val="DFAE08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eastAsia="方正仿宋_GB2312" w:asciiTheme="minorAscii" w:hAnsiTheme="minorAscii" w:cstheme="minorBidi"/>
      <w:kern w:val="2"/>
      <w:sz w:val="28"/>
      <w:szCs w:val="24"/>
      <w:lang w:val="en-US" w:eastAsia="zh-CN" w:bidi="ar-SA"/>
    </w:rPr>
  </w:style>
  <w:style w:type="paragraph" w:styleId="2">
    <w:name w:val="heading 1"/>
    <w:next w:val="1"/>
    <w:qFormat/>
    <w:uiPriority w:val="0"/>
    <w:pPr>
      <w:keepNext w:val="0"/>
      <w:keepLines w:val="0"/>
      <w:widowControl w:val="0"/>
      <w:spacing w:before="240" w:beforeLines="0" w:after="120" w:afterLines="0" w:line="560" w:lineRule="exact"/>
      <w:jc w:val="left"/>
      <w:outlineLvl w:val="0"/>
    </w:pPr>
    <w:rPr>
      <w:rFonts w:ascii="宋体" w:hAnsi="宋体" w:eastAsia="黑体" w:cs="宋体"/>
      <w:b/>
      <w:bCs/>
      <w:kern w:val="44"/>
      <w:sz w:val="30"/>
      <w:szCs w:val="30"/>
    </w:rPr>
  </w:style>
  <w:style w:type="paragraph" w:styleId="3">
    <w:name w:val="heading 2"/>
    <w:next w:val="1"/>
    <w:unhideWhenUsed/>
    <w:qFormat/>
    <w:uiPriority w:val="0"/>
    <w:pPr>
      <w:keepNext w:val="0"/>
      <w:keepLines w:val="0"/>
      <w:widowControl w:val="0"/>
      <w:spacing w:before="120" w:beforeAutospacing="0" w:after="120" w:afterAutospacing="0" w:line="560" w:lineRule="exact"/>
      <w:jc w:val="left"/>
      <w:outlineLvl w:val="1"/>
    </w:pPr>
    <w:rPr>
      <w:rFonts w:ascii="Times New Roman" w:hAnsi="Times New Roman" w:eastAsia="黑体" w:cs="Times New Roman"/>
      <w:b/>
      <w:sz w:val="32"/>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qForma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5">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 w:type="paragraph" w:customStyle="1" w:styleId="18">
    <w:name w:val="附录标题"/>
    <w:next w:val="1"/>
    <w:qFormat/>
    <w:uiPriority w:val="0"/>
    <w:pPr>
      <w:keepNext w:val="0"/>
      <w:keepLines w:val="0"/>
      <w:widowControl w:val="0"/>
      <w:spacing w:before="240" w:after="120" w:line="360" w:lineRule="auto"/>
      <w:jc w:val="left"/>
      <w:outlineLvl w:val="0"/>
    </w:pPr>
    <w:rPr>
      <w:rFonts w:ascii="Times New Roman" w:hAnsi="Times New Roman" w:eastAsia="宋体" w:cs="Times New Roman"/>
      <w:b/>
      <w:sz w:val="24"/>
    </w:rPr>
  </w:style>
  <w:style w:type="paragraph" w:customStyle="1" w:styleId="19">
    <w:name w:val="强调标题"/>
    <w:next w:val="1"/>
    <w:qFormat/>
    <w:uiPriority w:val="0"/>
    <w:pPr>
      <w:spacing w:before="240" w:after="120" w:line="360" w:lineRule="auto"/>
      <w:ind w:firstLine="600" w:firstLineChars="200"/>
      <w:jc w:val="left"/>
      <w:outlineLvl w:val="0"/>
    </w:pPr>
    <w:rPr>
      <w:rFonts w:ascii="Times New Roman" w:hAnsi="Times New Roman" w:eastAsia="宋体" w:cs="Times New Roman"/>
      <w:b/>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12" Type="http://schemas.openxmlformats.org/officeDocument/2006/relationships/header" Target="header3.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2494</Words>
  <Characters>2722</Characters>
  <Lines>0</Lines>
  <Paragraphs>0</Paragraphs>
  <TotalTime>48</TotalTime>
  <ScaleCrop>false</ScaleCrop>
  <LinksUpToDate>false</LinksUpToDate>
  <CharactersWithSpaces>3435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2026-06-05T22:26:00Z</dcterms:created>
  <dc:creator>123</dc:creator>
  <cp:lastModifiedBy>123</cp:lastModifiedBy>
  <dcterms:modified xsi:type="dcterms:W3CDTF">2026-06-05T05:20:29Z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1ADD2C6DB07646898495020C2399C055_13</vt:lpwstr>
  </property>
  <property fmtid="{D5CDD505-2E9C-101B-9397-08002B2CF9AE}" pid="4" name="KSOTemplateDocerSaveRecord">
    <vt:lpwstr>eyJoZGlkIjoiZDUzODFhN2UyNzVhZDY5Y2MwZDc5ZDIxMmNhOWMyMjAiLCJ1c2VySWQiOiIyNzU4MTEyMDgifQ==</vt:lpwstr>
  </property>
</Properties>
</file>