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Agent</w:t>
      </w:r>
    </w:p>
    <w:p>
      <w:r>
        <w:t>Cubecloud Legal Agent Application Customisation Service Contract</w:t>
      </w:r>
    </w:p>
    <w:p>
      <w:r>
        <w:t>Contract No.: CUBECLOUD-LEGALAGENT-2026-P01</w:t>
      </w:r>
    </w:p>
    <w:p>
      <w:r>
        <w:t>5 June 2026</w:t>
      </w:r>
    </w:p>
    <w:p>
      <w:r>
        <w:t>AI Agent 、、， Agent 、、；， Pacgate Phase 1 AI ， SaaS 、、、、；Phase 2 、， Phase 1 。，。</w:t>
      </w:r>
    </w:p>
    <w:p>
      <w:r>
        <w:t>[ Recitals ]</w:t>
      </w:r>
    </w:p>
    <w:p>
      <w:r>
        <w:t>Whereas Party A intends to carry out legal Agent application practice, learning, validation and internal capability building on the basis of the local AI system, and Party B has the capability to adapt legal Agent applications, configure workflows, build the knowledge infrastructure and provide advisory support; the parties acknowledge that the deliverables under this Contract constitute Phase 1 local pilot and open-source legal AI deployment support for Pacgate Law Firm, and DO NOT include any external-facing formal SaaS product development, customer portal, multi-tenant system, billing, operations monitoring, or commercialisation platform. The module scope, team composition and budget envelope of any Phase 2 commercialisation platform shall be proposed separately after Phase 1 acceptance and mutual alignment on pilot outcomes. Through friendly negotiation, the parties enter into this agreement in respect of the matters set out below.</w:t>
      </w:r>
    </w:p>
    <w:p>
      <w:r>
        <w:t>[ Parties ]</w:t>
      </w:r>
    </w:p>
    <w:p>
      <w:r>
        <w:t>Party A (Principal): (as per the executed signature page)</w:t>
      </w:r>
    </w:p>
    <w:p>
      <w:r>
        <w:t>Address: (as per the executed signature page)</w:t>
      </w:r>
    </w:p>
    <w:p>
      <w:r>
        <w:t>Contact: (as per the executed signature page)</w:t>
      </w:r>
    </w:p>
    <w:p>
      <w:r>
        <w:t>Contact details: (as per the executed signature page)</w:t>
      </w:r>
    </w:p>
    <w:p>
      <w:r>
        <w:t>Party B (Service Provider): (as per the executed signature page)</w:t>
      </w:r>
    </w:p>
    <w:p>
      <w:r>
        <w:t>Address: (as per the executed signature page)</w:t>
      </w:r>
    </w:p>
    <w:p>
      <w:r>
        <w:t>Contact: (as per the executed signature page)</w:t>
      </w:r>
    </w:p>
    <w:p>
      <w:r>
        <w:t>Contact details: (as per the executed signature page)</w:t>
      </w:r>
    </w:p>
    <w:p>
      <w:r>
        <w:t>《》， Agent 、， AI 。</w:t>
      </w:r>
    </w:p>
    <w:p>
      <w:r>
        <w:t>[ Article 1 — Purpose ]</w:t>
      </w:r>
    </w:p>
    <w:p>
      <w:r>
        <w:t>Pursuant to this Contract and the Unified Selection Sheet, Party B shall provide Party A with legal Agent application customisation, baseline private knowledge infrastructure setup and related advisory support, to assist Party A in carrying out AI workflow practice and capability accumulation in internal legal scenarios.</w:t>
      </w:r>
    </w:p>
    <w:p>
      <w:r>
        <w:t>（1）Claude for Legal ： practice bundle、playbook、connector ，。</w:t>
      </w:r>
    </w:p>
    <w:p>
      <w:r>
        <w:t>（2）Lavern ： Agent 、、。</w:t>
      </w:r>
    </w:p>
    <w:p>
      <w:r>
        <w:t>（3） Agent ：、、、、。</w:t>
      </w:r>
    </w:p>
    <w:p>
      <w:r>
        <w:t>（4）： authority materials、、matter 、context graph、、 RAG 。</w:t>
      </w:r>
    </w:p>
    <w:p>
      <w:r>
        <w:t>（5）：、、connector 、MCP 。</w:t>
      </w:r>
    </w:p>
    <w:p>
      <w:r>
        <w:t>[ Article 2 — Scope of Services ]</w:t>
      </w:r>
    </w:p>
    <w:p>
      <w:r>
        <w:t>The specific services under this Contract shall be those items marked in the Unified Selection Sheet as applicable to this Contract and confirmed by both parties. The baseline scope includes:</w:t>
      </w:r>
    </w:p>
    <w:p>
      <w:r>
        <w:t>(1) Claude for Legal adaptation: focusing on the practice bundle, playbook, connector and attorney-review workflow patterns, forming a baseline workflow applicable to Party A's internal operations.</w:t>
      </w:r>
    </w:p>
    <w:p>
      <w:r>
        <w:t>(2) Lavern adaptation: focusing on local multi-Agent orchestration, adversarial review, verification loop, and deliverable-oriented capability.</w:t>
      </w:r>
    </w:p>
    <w:p>
      <w:r>
        <w:t>(3) Baseline legal Agent customisation: task-type mapping, role configuration, baseline prompts, working steps, review checkpoints and handover notes.</w:t>
      </w:r>
    </w:p>
    <w:p>
      <w:r>
        <w:t>(4) Baseline private knowledge infrastructure: authority materials, client precedents, matter folders, context graph, baseline permission table, local retrieval and RAG baseline setup.</w:t>
      </w:r>
    </w:p>
    <w:p>
      <w:r>
        <w:t>(5) Advisory and accompaniment support: remote or on-site support, workflow tuning, connector planning, MCP extension recommendations, and Phase 2 planning.</w:t>
      </w:r>
    </w:p>
    <w:p>
      <w:r>
        <w:t>Specific service items, quantities, unit prices, amounts, selection status and inclusion in the contract amount shall be governed by the Unified Selection Sheet.</w:t>
      </w:r>
    </w:p>
    <w:p>
      <w:r>
        <w:t>《》（ SKU-2026-P01-V1）；，。</w:t>
      </w:r>
    </w:p>
    <w:p>
      <w:r>
        <w:t>： ¥ 40,000 （：，）。：USD 5,556（ USD 1 = CNY 7.2 ，USD ；CNY 3.5% ）。</w:t>
      </w:r>
    </w:p>
    <w:p>
      <w:r>
        <w:t>[ Article 3 — Contract Sum and Selection Sheet ]</w:t>
      </w:r>
    </w:p>
    <w:p>
      <w:r>
        <w:t>The total contract amount shall be the final amount payable to Party B under this Contract as recorded in the Unified Selection Sheet (ref. SKU-2026-P01-V1). The amount is stated on a VAT-exclusive basis. If Party A requires Party B to issue a VAT invoice, the tax shall be borne separately by Party A; the specific tax rate, invoice type and tax-inclusive amount shall be as confirmed by both parties in writing or as invoiced by Party B in accordance with law.</w:t>
      </w:r>
    </w:p>
    <w:p>
      <w:r>
        <w:t>Total Contract Amount: CNY 40,000 (Say: Renminbi Forty Thousand Yuan Only, VAT exclusive). Reference USD amount: USD 5,556 (calculated at USD 1 = CNY 7.2; USD pricing is tax-inclusive; CNY pricing excludes a 3.5% VAT reserve).</w:t>
      </w:r>
    </w:p>
    <w:p>
      <w:r>
        <w:t>In the event of any inconsistency between the body of this Contract and the Unified Selection Sheet, the Unified Selection Sheet shall prevail in respect of service names, quantities, unit prices, discounts and the amount payable; the body of this Contract shall prevail in respect of service boundaries, IP, data ownership, confidentiality, default liability and dispute resolution.</w:t>
      </w:r>
    </w:p>
    <w:p>
      <w:r>
        <w:t>Agent 、。</w:t>
      </w:r>
    </w:p>
    <w:p>
      <w:r>
        <w:t>、 GPU Dock、Cubecloud AI Cubecloud Agent OS 。，《 AI 》。</w:t>
      </w:r>
    </w:p>
    <w:p>
      <w:r>
        <w:t>[ Article 4 — Service Boundaries ]</w:t>
      </w:r>
    </w:p>
    <w:p>
      <w:r>
        <w:t>This Contract applies solely to legal Agent application customisation, knowledge infrastructure setup, and advisory services.</w:t>
      </w:r>
    </w:p>
    <w:p>
      <w:r>
        <w:t>This Contract does NOT cover hardware procurement, external GPU Dock, the Cubecloud Standard Local AI Layer, or the Cubecloud Agent OS Surface standard delivery. Such hardware and standard system items shall be governed by the Cubecloud Local AI Hardware and Standard System Delivery Contract or by a separate agreement signed by the parties.</w:t>
      </w:r>
    </w:p>
    <w:p>
      <w:r>
        <w:t>This Contract does NOT cover Party A's full historical materials consolidation, complete knowledge base construction, complex business system integration, in-depth third-party system development, or full data governance, unless otherwise agreed in writing.</w:t>
      </w:r>
    </w:p>
    <w:p>
      <w:r>
        <w:t>Any service not expressly allocated to this Contract and confirmed in the Unified Selection Sheet shall fall outside Party B's service scope.</w:t>
      </w:r>
    </w:p>
    <w:p>
      <w:r>
        <w:t>Advisory and accompaniment support, if not expressly checked, priced or noted as included in the Unified Selection Sheet, is not part of the purchased services under this Contract. If required, such services shall be provided under a separately signed Cubecloud Remote Advisory Service Order or a supplemental agreement to this Contract.</w:t>
      </w:r>
    </w:p>
    <w:p>
      <w:r>
        <w:t>Any product, service, feature, customisation, in-depth adaptation, knowledge engineering or advisory support that is not expressly allocated to this Contract in either this Contract or the Unified Selection Sheet, confirmed and priced within this Contract's amount, shall fall outside Party B's delivery or service scope under this Contract. Any such requirement shall be addressed by a separate supplemental agreement or billed separately on an advisory-hour basis.</w:t>
      </w:r>
    </w:p>
    <w:p>
      <w:r>
        <w:t>Agent 、、。</w:t>
      </w:r>
    </w:p>
    <w:p>
      <w:r>
        <w:t>AI 、、、。</w:t>
      </w:r>
    </w:p>
    <w:p>
      <w:r>
        <w:t>AI 、。</w:t>
      </w:r>
    </w:p>
    <w:p>
      <w:r>
        <w:t>、 AI ，。</w:t>
      </w:r>
    </w:p>
    <w:p>
      <w:r>
        <w:t>AI 、、、。</w:t>
      </w:r>
    </w:p>
    <w:p>
      <w:r>
        <w:t>[ Article 5 — Legal Review and Usage Liability ]</w:t>
      </w:r>
    </w:p>
    <w:p>
      <w:r>
        <w:t>The legal Agent applications under this Contract serve solely as Party A's internal auxiliary analysis, learning, validation, workflow demonstration, and work support tools.</w:t>
      </w:r>
    </w:p>
    <w:p>
      <w:r>
        <w:t>AI output does NOT constitute final legal advice, professional judgement, litigation strategy, regulatory determination, or a legal document that can be issued directly to external parties.</w:t>
      </w:r>
    </w:p>
    <w:p>
      <w:r>
        <w:t>Party A shall arrange qualified and duly authorised professionals to review, confirm and ultimately rely upon the AI output.</w:t>
      </w:r>
    </w:p>
    <w:p>
      <w:r>
        <w:t>Party A shall bear all consequences arising from its failure to conduct human review, its out-of-scope use, or its direct external use of AI output.</w:t>
      </w:r>
    </w:p>
    <w:p>
      <w:r>
        <w:t>Party B gives no warranty as to the legal conclusion, commercial judgement, litigation outcome, regulatory outcome, or third-party adoption of any AI output.</w:t>
      </w:r>
    </w:p>
    <w:p>
      <w:r>
        <w:t>Claude for Legal、Lavern ，、。</w:t>
      </w:r>
    </w:p>
    <w:p>
      <w:r>
        <w:t>[ Article 6 — Third-party Systems and Open-source Components ]</w:t>
      </w:r>
    </w:p>
    <w:p>
      <w:r>
        <w:t>References in this Contract to Claude for Legal, Lavern and similar names are solely to indicate the capability direction, system pattern or workflow feature to which Party B's adaptation refers.</w:t>
      </w:r>
    </w:p>
    <w:p>
      <w:r>
        <w:t>Unless otherwise agreed in writing, Party B's deliverables do not represent any grant or transfer by Party B of any third-party brand, trademark, original product, commercial licence, or intellectual property.</w:t>
      </w:r>
    </w:p>
    <w:p>
      <w:r>
        <w:t>Where open-source components, third-party models, third-party tools or third-party interfaces are involved in the services, both parties shall comply with the applicable open-source licence, terms of service, licence boundaries and compliance requirements.</w:t>
      </w:r>
    </w:p>
    <w:p>
      <w:r>
        <w:t>Functional adjustments caused by changes in third-party services, models, interfaces, licences or policies shall not constitute breach by Party B; any resulting additional work shall be confirmed by the parties separately.</w:t>
      </w:r>
    </w:p>
    <w:p>
      <w:r>
        <w:t>、， 30 。：、playbook 、、matter HWOS 。</w:t>
      </w:r>
    </w:p>
    <w:p>
      <w:r>
        <w:t>，： Agent ； RAG、context graph ；；；。</w:t>
      </w:r>
    </w:p>
    <w:p>
      <w:r>
        <w:t>[ Article 7 — Delivery Schedule and Acceptance ]</w:t>
      </w:r>
    </w:p>
    <w:p>
      <w:r>
        <w:t>Party B shall complete baseline adaptation and delivery within thirty (30) business days after receipt of the corresponding payment from Party A, the baseline system environment is in place, and Party A has provided the necessary materials. The necessary materials shall include at least: Party A's business scope, playbook draft, template samples, matter folder structure, and the confirmation that the corresponding hardware has passed acceptance under the Cubecloud HWOS Contract.</w:t>
      </w:r>
    </w:p>
    <w:p>
      <w:r>
        <w:t>The delivery schedule shall be extended accordingly if the delay is caused by Party A's late submission of materials, unconfirmed business processes, unprepared system environment, third-party service restrictions, or force majeure.</w:t>
      </w:r>
    </w:p>
    <w:p>
      <w:r>
        <w:t>Acceptance conditions shall be deemed satisfied upon: baseline deployment or configuration of the selected legal Agent applications; baseline setup of the selected RAG, context graph or knowledge infrastructure; baseline workflow demo within the agreed scope; Party B's completion of baseline usage or handover notes; and Party A's ability to run a baseline test process on sample documents.</w:t>
      </w:r>
    </w:p>
    <w:p>
      <w:r>
        <w:t>Party A shall complete acceptance within seven (7) business days after receipt of Party B's written acceptance notice. If Party A raises no written objection within such period, acceptance shall be deemed to have passed.</w:t>
      </w:r>
    </w:p>
    <w:p>
      <w:r>
        <w:t>Any additional requirements beyond the scope of this Contract shall be agreed by the parties in respect of fees and schedule separately.</w:t>
      </w:r>
    </w:p>
    <w:p>
      <w:r>
        <w:t>USD 3,334</w:t>
      </w:r>
    </w:p>
    <w:p>
      <w:r>
        <w:t>USD 1,667</w:t>
      </w:r>
    </w:p>
    <w:p>
      <w:r>
        <w:t>USD 556</w:t>
      </w:r>
    </w:p>
    <w:p>
      <w:r>
        <w:t>[ Article 8 — Payment ]</w:t>
      </w:r>
    </w:p>
    <w:p>
      <w:r>
        <w:t>Payment shall follow the Unified Selection Sheet or any payment arrangement confirmed in writing by the parties. If the Unified Selection Sheet is silent, the following schedule shall apply:</w:t>
      </w:r>
    </w:p>
    <w:p>
      <w:r>
        <w:t>(1) Within five (5) business days after execution of this Contract and Party A's written confirmation of the SKU selections and provision of the necessary materials, Party A shall pay 60% of the contract amount (i.e. CNY 24,000 / USD 3,334, the Deposit).</w:t>
      </w:r>
    </w:p>
    <w:p>
      <w:r>
        <w:t>(2) Within five (5) business days after Party B has completed baseline adaptation and deployment of the Agent applications, Party A shall pay 30% of the contract amount (i.e. CNY 12,000 / USD 1,667, Milestone One).</w:t>
      </w:r>
    </w:p>
    <w:p>
      <w:r>
        <w:t>(3) Within five (5) business days after project acceptance, Party A shall pay 10% of the contract amount (i.e. CNY 4,000 / USD 556, Final Handover).</w:t>
      </w:r>
    </w:p>
    <w:p>
      <w:r>
        <w:t>If Party A fails to pay on time, Party B may suspend development, deployment, configuration, advisory support or further services; any resulting delay shall not constitute a breach by Party B.</w:t>
      </w:r>
    </w:p>
    <w:p>
      <w:r>
        <w:t>Party B's receiving bank details (to be set out on the executed signature page): account name, bank, account number, tax ID.</w:t>
      </w:r>
    </w:p>
    <w:p>
      <w:r>
        <w:t>、、、matter 、、，。</w:t>
      </w:r>
    </w:p>
    <w:p>
      <w:r>
        <w:t>、、、、Agent ，。</w:t>
      </w:r>
    </w:p>
    <w:p>
      <w:r>
        <w:t>[ Article 9 — Intellectual Property, Data and Confidentiality ]</w:t>
      </w:r>
    </w:p>
    <w:p>
      <w:r>
        <w:t>Business materials, client documents, historical cases, matter folders, internal policies, client precedents and other data materials provided by Party A belong to Party A or the relevant rights-holder.</w:t>
      </w:r>
    </w:p>
    <w:p>
      <w:r>
        <w:t>Party B's pre-existing system architecture, generic tools, generic templates, methodology, Agent adaptation framework and technical outputs belong to Party B.</w:t>
      </w:r>
    </w:p>
    <w:p>
      <w:r>
        <w:t>After full payment, Party A may, within its internal business scope, use the project configuration, baseline process adaptation, baseline taxonomy recommendations and handover materials customised by Party B for Party A.</w:t>
      </w:r>
    </w:p>
    <w:p>
      <w:r>
        <w:t>Without Party B's prior written consent, Party A shall not copy and resell, rent out, distribute or otherwise provide the Party B deliverables as a standalone product to any third party.</w:t>
      </w:r>
    </w:p>
    <w:p>
      <w:r>
        <w:t>Without Party A's prior written consent, Party B shall not use Party A's non-public business materials, client materials or legal documents for any purpose outside this project.</w:t>
      </w:r>
    </w:p>
    <w:p>
      <w:r>
        <w:t>Both parties shall keep non-public information obtained during the cooperation confidential; this confidentiality obligation shall survive termination of this Contract.</w:t>
      </w:r>
    </w:p>
    <w:p>
      <w:r>
        <w:t>[ Article 10 — Default, Variation and Dispute Resolution ]</w:t>
      </w:r>
    </w:p>
    <w:p>
      <w:r>
        <w:t>If Party A is late in payment, it shall pay Party B liquidated damages at 0.05% per day on the overdue amount. If the delay exceeds fifteen (15) days, Party B may suspend services.</w:t>
      </w:r>
    </w:p>
    <w:p>
      <w:r>
        <w:t>If Party B fails to complete the services on time without justified cause, it shall remedy within a reasonable period.</w:t>
      </w:r>
    </w:p>
    <w:p>
      <w:r>
        <w:t>Party B shall not be liable for delay caused by Party A's late submission of materials, unprepared system environment, third-party reasons, or force majeure.</w:t>
      </w:r>
    </w:p>
    <w:p>
      <w:r>
        <w:t>Except for losses caused by wilful misconduct or gross negligence, Party B's aggregate liability under this Contract shall not exceed the amount actually paid by Party A under this Contract.</w:t>
      </w:r>
    </w:p>
    <w:p>
      <w:r>
        <w:t>Any variation or supplement to this Contract shall be confirmed in writing by both parties. Additional work arising from new requirements, requirement changes or expanded delivery scope shall be confirmed by the parties separately in respect of fees and schedule.</w:t>
      </w:r>
    </w:p>
    <w:p>
      <w:r>
        <w:t>Any dispute arising from this Contract shall be resolved by friendly negotiation; failing that, either party may bring suit before the people's court with jurisdiction at Party B's place of business.</w:t>
      </w:r>
    </w:p>
    <w:p>
      <w:r>
        <w:t>：《 Agent 》；</w:t>
      </w:r>
    </w:p>
    <w:p>
      <w:r>
        <w:t>：《》（ SKU-2026-P01-V1，《 AI 》）。</w:t>
      </w:r>
    </w:p>
    <w:p>
      <w:r>
        <w:t>[ Article 11 — Variation, Rescission and Termination ]</w:t>
      </w:r>
    </w:p>
    <w:p>
      <w:r>
        <w:t>(1) This Contract may be varied or rescinded by mutual written agreement of the parties.</w:t>
      </w:r>
    </w:p>
    <w:p>
      <w:r>
        <w:t>(2) If Party A rescinds unilaterally after payment, the labour, customisation, third-party service procurement and deployment costs already incurred by Party B shall be borne by Party A and shall not be less than thirty percent (30%) of the total contract amount. Party B shall complete handover and refund within seven (7) business days after receipt of the foregoing payment and cost compensation.</w:t>
      </w:r>
    </w:p>
    <w:p>
      <w:r>
        <w:t>(3) If Party B fails to complete delivery within the delivery schedule without justified cause and fails to remedy within fifteen (15) days after written notice, Party A may rescind this Contract. Party B shall refund the portion of the amount paid by Party A corresponding to the unperformed part, and shall compensate Party A for direct losses arising therefrom.</w:t>
      </w:r>
    </w:p>
    <w:p>
      <w:r>
        <w:t>(4) If a party is unable to perform this Contract due to force majeure for more than thirty (30) consecutive days, the other party may rescind this Contract by written notice. The delivered portion shall be settled at the contract price; the reasonable labour and customisation costs already incurred by Party B shall be shared by the parties in proportion to the actual amounts.</w:t>
      </w:r>
    </w:p>
    <w:p>
      <w:r>
        <w:t>(5) After this Contract is fully performed or terminated by mutual written confirmation, the following obligations shall survive: confidentiality, intellectual property ownership, data return and deletion, and dispute resolution.</w:t>
      </w:r>
    </w:p>
    <w:p>
      <w:r>
        <w:t>（）、、、playbook、、prompt、workflow、matter 、context graph、、（''），。</w:t>
      </w:r>
    </w:p>
    <w:p>
      <w:r>
        <w:t>（） AI ，；。</w:t>
      </w:r>
    </w:p>
    <w:p>
      <w:r>
        <w:t>[ Article 12 — Data Return and Deletion ]</w:t>
      </w:r>
    </w:p>
    <w:p>
      <w:r>
        <w:t>(1) All Party A business materials, client documents, playbooks, templates, prompts, workflows, matter folders, context graph, knowledge base indices, retrieval logs and derivative files (collectively, the 'Party A Data') that Party B collects, stores or processes under this Contract shall belong to Party A or the rights-holder designated by Party A.</w:t>
      </w:r>
    </w:p>
    <w:p>
      <w:r>
        <w:t>Within thirty (30) days after termination or rescission of this Contract, Party B shall return the Party A Data in its original format or a common, machine-readable electronic format; the return method shall include but not be limited to local export, encrypted package delivery or other means approved by Party A in writing.</w:t>
      </w:r>
    </w:p>
    <w:p>
      <w:r>
        <w:t>(3) After Party A confirms receipt and notifies Party B in writing, Party B shall delete all Party A Data within its control (including backups and mirrors) within seven (7) days, and shall provide a written deletion certificate countersigned by Party A's authorised counsel or designated personnel.</w:t>
      </w:r>
    </w:p>
    <w:p>
      <w:r>
        <w:t>(4) Party B shall not use the Party A Data to train any general-purpose or third-party AI model, nor for any purpose outside this project; this obligation shall survive termination of this Contract.</w:t>
      </w:r>
    </w:p>
    <w:p>
      <w:r>
        <w:t>(5) In the event of breach of this Article, Party B shall compensate Party A in an amount reasonably corresponding to the highest confidentiality level of the client matter to which the unreturned or undeleted data relates.</w:t>
      </w:r>
    </w:p>
    <w:p>
      <w:r>
        <w:t>（）、Agent 、、、；，。</w:t>
      </w:r>
    </w:p>
    <w:p>
      <w:r>
        <w:t>（）、、playbook、、workflow 。</w:t>
      </w:r>
    </w:p>
    <w:p>
      <w:r>
        <w:t>[ Article 13 — Reverse Engineering and Competitive Use Restrictions ]</w:t>
      </w:r>
    </w:p>
    <w:p>
      <w:r>
        <w:t>(1) Party A shall not reverse-engineer, decompile or disassemble Party B's system, Agent adaptation framework, knowledge infrastructure templates or methodology, except where expressly permitted by law for interoperability purposes and only to the extent strictly necessary to achieve such interoperability.</w:t>
      </w:r>
    </w:p>
    <w:p>
      <w:r>
        <w:t>(2) Party A shall not develop external commercialized services that form a direct substitute relationship with Party B's standardized products based on Party B's pre-existing framework, templates or methodology, nor shall Party A distribute Party B's deliverables after removing Party B's copyright, trademark or identification marks.</w:t>
      </w:r>
    </w:p>
    <w:p>
      <w:r>
        <w:t>(3) Nothing in this Article shall restrict Party A's use or disposition of the data, documents, playbooks, templates, workflows and other business materials provided by Party A itself.</w:t>
      </w:r>
    </w:p>
    <w:p>
      <w:r>
        <w:t>[ Article 14 — Force Majeure ]</w:t>
      </w:r>
    </w:p>
    <w:p>
      <w:r>
        <w:t>(1) Force majeure refers to objective circumstances that cannot be foreseen, avoided or overcome, including but not limited to natural disasters, war, epidemics, government acts, backbone telecommunications network outages, industry-level supply chain disruptions, and termination of upstream open-source or third-party services.</w:t>
      </w:r>
    </w:p>
    <w:p>
      <w:r>
        <w:t>(2) The party affected by force majeure shall notify the other party in writing within five (5) business days from the date of occurrence and provide supporting evidence.</w:t>
      </w:r>
    </w:p>
    <w:p>
      <w:r>
        <w:t>(3) Where this Contract cannot be performed in whole or in part due to force majeure, the affected party shall be excused from liability for the duration of the force majeure; the part of the Contract that remains feasible shall continue to be performed.</w:t>
      </w:r>
    </w:p>
    <w:p>
      <w:r>
        <w:t>(4) If force majeure continues for more than thirty (30) days, either party may rescind this Contract by written notice; the delivered portion shall be settled at the contract price.</w:t>
      </w:r>
    </w:p>
    <w:p>
      <w:r>
        <w:t>[ Article 15 — Governing Law and Dispute Resolution ]</w:t>
      </w:r>
    </w:p>
    <w:p>
      <w:r>
        <w:t>(1) The conclusion, validity, interpretation, performance and dispute resolution of this Contract shall be governed by the laws of the People's Republic of China (excluding, for the purposes of this Contract, the Hong Kong Special Administrative Region, the Macao Special Administrative Region and the Taiwan region).</w:t>
      </w:r>
    </w:p>
    <w:p>
      <w:r>
        <w:t>(2) Any dispute arising from this Contract shall first be resolved by friendly negotiation between the parties; failing that, either party may bring suit before the people's court with jurisdiction at the place where this Contract is signed.</w:t>
      </w:r>
    </w:p>
    <w:p>
      <w:r>
        <w:t>(3) During the proceedings, the parties shall continue to perform the provisions of this Contract that are not subject to the dispute.</w:t>
      </w:r>
    </w:p>
    <w:p>
      <w:r>
        <w:t>[ Article 16 — Electronic Signature, Notices and Order of Precedence ]</w:t>
      </w:r>
    </w:p>
    <w:p>
      <w:r>
        <w:t>(1) This Contract shall take effect upon signature by the legal representatives or authorised signatories of both parties and affixation of company seals. Where the parties agree in writing to use electronic signatures, such electronic signatures shall have the same legal effect as physical signatures and seals.</w:t>
      </w:r>
    </w:p>
    <w:p>
      <w:r>
        <w:t>(2) Any notice, request or confirmation under this Contract shall be made in writing and delivered via the email addresses confirmed in writing by the parties or by personal delivery; the delivery addresses shall be those set out on the signature page of this Contract.</w:t>
      </w:r>
    </w:p>
    <w:p>
      <w:r>
        <w:t>(3) The attachments to this Contract shall have the same legal effect as the body. The order of interpretation shall be: (1) the body of this Contract; (2) Attachment 1 — Service Delivery List; (3) Attachment 2 — Unified Selection Sheet.</w:t>
      </w:r>
    </w:p>
    <w:p>
      <w:r>
        <w:t>（）、、、prompt 、workflow 、；、。</w:t>
      </w:r>
    </w:p>
    <w:p>
      <w:r>
        <w:t>（）、、、、Agent ，。</w:t>
      </w:r>
    </w:p>
    <w:p>
      <w:r>
        <w:t>[ Article 17 — IP and Customisation Ownership (Supplementary) ]</w:t>
      </w:r>
    </w:p>
    <w:p>
      <w:r>
        <w:t>(1) The copyright of customisation deliverables produced by Party B for Party A, including project configuration, baseline process adaptation, baseline taxonomy recommendations, prompt drafts, workflow templates and handover materials, shall belong to Party A; Party A may freely use, modify and combine them within its internal business scope.</w:t>
      </w:r>
    </w:p>
    <w:p>
      <w:r>
        <w:t>(2) Party B's pre-existing framework, generic tools, generic templates, methodology, Agent adaptation framework and technical outputs shall remain the property of Party B; Party A's foregoing usage right shall not constitute a transfer or sublicense of such Party B pre-existing IP.</w:t>
      </w:r>
    </w:p>
    <w:p>
      <w:r>
        <w:t>(3) New deliverables independently developed, extended or recombined by Party A on the basis of the customisation deliverables shall be agreed in a supplemental agreement; in the absence of such agreement, ownership shall vest in the developing party.</w:t>
      </w:r>
    </w:p>
    <w:p>
      <w:r>
        <w:t>【 AI 】</w:t>
      </w:r>
    </w:p>
    <w:p>
      <w:r>
        <w:t>（） AI 、； AI 、。</w:t>
      </w:r>
    </w:p>
    <w:p>
      <w:r>
        <w:t>（），、、playbook、prompt、workflow、matter AI 、 AI 。</w:t>
      </w:r>
    </w:p>
    <w:p>
      <w:r>
        <w:t>[ Article 18 — AI Output and Use as Training Data ]</w:t>
      </w:r>
    </w:p>
    <w:p>
      <w:r>
        <w:t>(1) AI output under this Contract shall not constitute final legal advice, professional judgement, or legal documents usable externally. Party A shall arrange qualified and duly authorised professionals to review, confirm and ultimately rely upon the AI output.</w:t>
      </w:r>
    </w:p>
    <w:p>
      <w:r>
        <w:t>(2) Without Party A's prior written consent, Party B shall not use Party A's non-public business materials, client materials, playbooks, prompts, workflows, matter files or any AI input or output under this project to train any general-purpose or third-party AI model.</w:t>
      </w:r>
    </w:p>
    <w:p>
      <w:r>
        <w:t>(3) Party B may, on the basis of internal de-identification and aggregation, use the methodology, processes and general technical experience of the services delivered under this project to improve its general methodology; such use shall not enable re-identification of Party A or Party A's clients.</w:t>
      </w:r>
    </w:p>
    <w:p>
      <w:r>
        <w:t>[ Article 19 — Attachments and Effectiveness ]</w:t>
      </w:r>
    </w:p>
    <w:p>
      <w:r>
        <w:t>This Contract shall take effect from the date of signature or sealing by both parties.</w:t>
      </w:r>
    </w:p>
    <w:p>
      <w:r>
        <w:t>This Contract is made in four (4) counterparts, with each party holding two (2) counterparts of equal legal effect.</w:t>
      </w:r>
    </w:p>
    <w:p>
      <w:r>
        <w:t>The attachments to this Contract are:</w:t>
      </w:r>
    </w:p>
    <w:p>
      <w:r>
        <w:t>Attachment 1: Legal Agent Application and Service Delivery List;</w:t>
      </w:r>
    </w:p>
    <w:p>
      <w:r>
        <w:t>Attachment 2: Unified Selection Sheet (ref. SKU-2026-P01-V1, jointly attached to this Contract and the Cubecloud Local AI Hardware and Standard System Delivery Contract).</w:t>
      </w:r>
    </w:p>
    <w:p>
      <w:r>
        <w:t>Matters not covered by this Contract shall be addressed by separate supplemental agreements signed by the parties.</w:t>
      </w:r>
    </w:p>
    <w:p>
      <w:r>
        <w:t>Signature Page</w:t>
      </w:r>
    </w:p>
    <w:p>
      <w:r>
        <w:t>Party A (Seal): ____________________</w:t>
      </w:r>
    </w:p>
    <w:p>
      <w:r>
        <w:t>Authorised Signatory: ____________________</w:t>
      </w:r>
    </w:p>
    <w:p>
      <w:r>
        <w:t>Title</w:t>
      </w:r>
    </w:p>
    <w:p>
      <w:r>
        <w:t>____ (YYYY) __ (MM) __ (DD)</w:t>
      </w:r>
    </w:p>
    <w:p>
      <w:r>
        <w:t>Place of signing: ____ Province ____ City ____ District</w:t>
      </w:r>
    </w:p>
    <w:p>
      <w:r>
        <w:t>Party B (Seal): ____________________</w:t>
      </w:r>
    </w:p>
    <w:p>
      <w:r>
        <w:t>Authorised Signatory: ____________________</w:t>
      </w:r>
    </w:p>
    <w:p>
      <w:r>
        <w:t>Title</w:t>
      </w:r>
    </w:p>
    <w:p>
      <w:r>
        <w:t>____ (YYYY) __ (MM) __ (DD)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