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百宸律师事务所基金业务法律文件模板第一批收集清单"/>
    <w:p>
      <w:pPr>
        <w:pStyle w:val="Heading1"/>
        <w:jc w:val="center"/>
      </w:pPr>
      <w:r>
        <w:rPr>
          <w:rFonts w:hint="eastAsia" w:ascii="Arial Unicode MS" w:hAnsi="Arial Unicode MS" w:eastAsia="Arial Unicode MS" w:cs="Arial Unicode MS"/>
        </w:rPr>
        <w:t xml:space="preserve">百宸律师事务所基金业务法律文件模板第一批收集清单</w:t>
      </w:r>
    </w:p>
    <w:bookmarkStart w:id="13" w:name="一范围和使用说明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一、范围和使用说明</w:t>
      </w:r>
    </w:p>
    <w:bookmarkStart w:id="9" w:name="本批范围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1. </w:t>
      </w:r>
      <w:r>
        <w:rPr>
          <w:rFonts w:hint="eastAsia" w:ascii="Arial Unicode MS" w:hAnsi="Arial Unicode MS" w:eastAsia="Arial Unicode MS" w:cs="Arial Unicode MS"/>
        </w:rPr>
        <w:t xml:space="preserve">本批范围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第一版以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境内私募股权投资基金、创业投资基金</w:t>
      </w:r>
      <w:r>
        <w:rPr>
          <w:rFonts w:hint="eastAsia" w:ascii="Arial Unicode MS" w:hAnsi="Arial Unicode MS" w:eastAsia="Arial Unicode MS" w:cs="Arial Unicode MS"/>
        </w:rPr>
        <w:t xml:space="preserve">为基准，覆盖：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基金架构和设立；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募集、认购和投资者适当性；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新基金备案；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项目投资决策；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基金运营及向LP披露；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 w:cs="Arial Unicode MS"/>
        </w:rPr>
        <w:t xml:space="preserve">基金变更、清算和注销。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私募证券基金、开曼基金、QFLP/QDLP、管理人境外牌照和基金争议文件暂不作为本版核心内容。私募基金管理人登记材料仅在近期确有对应业务时收集。</w:t>
      </w:r>
    </w:p>
    <w:bookmarkEnd w:id="9"/>
    <w:bookmarkStart w:id="10" w:name="优先级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2. </w:t>
      </w:r>
      <w:r>
        <w:rPr>
          <w:rFonts w:hint="eastAsia" w:ascii="Arial Unicode MS" w:hAnsi="Arial Unicode MS" w:eastAsia="Arial Unicode MS" w:cs="Arial Unicode MS"/>
        </w:rPr>
        <w:t xml:space="preserve">优先级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A（立即准备）</w:t>
      </w:r>
      <w:r>
        <w:rPr>
          <w:rFonts w:hint="eastAsia" w:ascii="Arial Unicode MS" w:hAnsi="Arial Unicode MS" w:eastAsia="Arial Unicode MS" w:cs="Arial Unicode MS"/>
        </w:rPr>
        <w:t xml:space="preserve">：基金业务闭环中的核心文件；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B（本批补充）</w:t>
      </w:r>
      <w:r>
        <w:rPr>
          <w:rFonts w:hint="eastAsia" w:ascii="Arial Unicode MS" w:hAnsi="Arial Unicode MS" w:eastAsia="Arial Unicode MS" w:cs="Arial Unicode MS"/>
        </w:rPr>
        <w:t xml:space="preserve">：完成A类后继续准备的重要文件；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C（条件收集）</w:t>
      </w:r>
      <w:r>
        <w:rPr>
          <w:rFonts w:hint="eastAsia" w:ascii="Arial Unicode MS" w:hAnsi="Arial Unicode MS" w:eastAsia="Arial Unicode MS" w:cs="Arial Unicode MS"/>
        </w:rPr>
        <w:t xml:space="preserve">：仅在近期确有对应业务时收集。</w:t>
      </w:r>
    </w:p>
    <w:bookmarkEnd w:id="10"/>
    <w:bookmarkStart w:id="11" w:name="资料使用等级和提交要求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3. </w:t>
      </w:r>
      <w:r>
        <w:rPr>
          <w:rFonts w:hint="eastAsia" w:ascii="Arial Unicode MS" w:hAnsi="Arial Unicode MS" w:eastAsia="Arial Unicode MS" w:cs="Arial Unicode MS"/>
        </w:rPr>
        <w:t xml:space="preserve">资料使用等级和提交要求</w:t>
      </w:r>
    </w:p>
    <w:p>
      <w:pPr>
        <w:pStyle w:val="FirstParagraph"/>
      </w:pPr>
      <w:r>
        <w:rPr>
          <w:rFonts w:hint="eastAsia" w:ascii="Arial Unicode MS" w:hAnsi="Arial Unicode MS" w:eastAsia="Arial Unicode MS" w:cs="Arial Unicode MS"/>
        </w:rPr>
        <w:t xml:space="preserve">本所AI系统采用本地部署。种子文件不再要求一律脱敏，而是按用途和访问范围分级管理：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1870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等级</w:t>
            </w:r>
          </w:p>
        </w:tc>
        <w:tc>
          <w:tcPr>
            <w:tcW w:type="dxa" w:w="430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适用资料</w:t>
            </w:r>
          </w:p>
        </w:tc>
        <w:tc>
          <w:tcPr>
            <w:tcW w:type="dxa" w:w="844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提交及使用标准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T1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全所共享模板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空白模板、标准文本、内部方法论、AMAC及其他官方公开文件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不保留客户、基金或具体项目身份信息，可进入全所共享模板库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T2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所内受限种子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已办结基金项目的优质LPA、认购文件、备案材料、运营文件和成品实例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可以保留原文；须确认来源和内部使用权限，进入受限种子区，按基金组或授权人员控制访问，不默认跨项目检索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T3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项目专属资料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在办基金的投资者信息、KYC/AML材料、账户资料、签署版文件和项目底稿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仅在相应项目空间使用，不进入通用模板库或通用训练集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8"/>
              </w:rPr>
              <w:t xml:space="preserve">T4 </w:t>
            </w: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特别敏感资料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涉及国家秘密、重大未公开交易或大量敏感个人信息等资料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原则上不作为通用种子；确有必要时须单独审批并采取更严格隔离措施</w:t>
            </w:r>
          </w:p>
        </w:tc>
      </w:tr>
    </w:tbl>
    <w:p>
      <w:pPr>
        <w:pStyle w:val="BodyText"/>
      </w:pPr>
      <w:r>
        <w:rPr>
          <w:rFonts w:hint="eastAsia" w:ascii="Arial Unicode MS" w:hAnsi="Arial Unicode MS" w:eastAsia="Arial Unicode MS" w:cs="Arial Unicode MS"/>
        </w:rPr>
        <w:t xml:space="preserve">提交时还应遵循以下要求：</w:t>
      </w:r>
    </w:p>
    <w:p>
      <w:pPr>
        <w:pStyle w:val="Compact"/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>优先提供本所在过往项目中实际使用、审阅、修改或经谈判验证的成熟版本；文件不以本所最初起草为限。没有项目版本的，再采用AMAC、证监会或其他官方版本。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T2文件可以保留基金名称、投资者名称、认缴金额及完整上下文，但应与T1共享模板分区保存；拟将T2文件转化为T1模板时，再进行去客户化和内容提炼。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提交人应确认资料来源、客户约定和本所内部制度允许用于所内模板建设；来源或授权范围不明确的，暂不纳入。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本地部署还应覆盖向量库、OCR、嵌入模型、缓存、日志和备份，避免通过外部接口或无权限检索造成资料扩散。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批注、修订记录、作者信息、文件属性、隐藏工作表和附件可以作为T2原始语境保留，但系统应继承正文相同的访问权限；转为T1时一并清理。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Arial Unicode MS" w:hAnsi="Arial Unicode MS" w:eastAsia="Arial Unicode MS" w:cs="Arial Unicode MS"/>
        </w:rPr>
        <w:t xml:space="preserve">优先提交可编辑的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Style w:val="VerbatimChar"/>
          <w:rFonts w:ascii="Arial Unicode MS" w:hAnsi="Arial Unicode MS" w:eastAsia="Arial Unicode MS" w:cs="Arial Unicode MS"/>
        </w:rPr>
        <w:t xml:space="preserve">.docx</w:t>
      </w:r>
      <w:r>
        <w:rPr>
          <w:rFonts w:ascii="Arial Unicode MS" w:hAnsi="Arial Unicode MS" w:eastAsia="Arial Unicode MS" w:cs="Arial Unicode MS"/>
        </w:rPr>
        <w:t xml:space="preserve">、</w:t>
      </w:r>
      <w:r>
        <w:rPr>
          <w:rStyle w:val="VerbatimChar"/>
          <w:rFonts w:ascii="Arial Unicode MS" w:hAnsi="Arial Unicode MS" w:eastAsia="Arial Unicode MS" w:cs="Arial Unicode MS"/>
        </w:rPr>
        <w:t xml:space="preserve">.xlsx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或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Style w:val="VerbatimChar"/>
          <w:rFonts w:ascii="Arial Unicode MS" w:hAnsi="Arial Unicode MS" w:eastAsia="Arial Unicode MS" w:cs="Arial Unicode MS"/>
        </w:rPr>
        <w:t xml:space="preserve">.pptx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文件；PDF仅作为官方原版或盖章样例补充。</w:t>
      </w:r>
    </w:p>
    <w:p>
      <w:pPr>
        <w:pStyle w:val="Compact"/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>过往项目中通过正常业务往来取得的高质量文件可以提交，包括由客户、投资人、GP、管理人、托管或募集机构、其他中介机构或其他律所提供或参与起草的版本；提交时应注明取得项目、文件来源及本所使用角色。仅排除来源不明、通过非正常渠道取得、受明确禁止复制或内部再利用约束，或者付费模板库许可范围不允许纳入的材料。</w:t>
      </w:r>
    </w:p>
    <w:p>
      <w:pPr>
        <w:pStyle w:val="Compact"/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>状态栏保持空白，由整理人根据实际情况打钩、填写提供人或补充备注。</w:t>
      </w:r>
    </w:p>
    <w:bookmarkEnd w:id="11"/>
    <w:bookmarkStart w:id="12" w:name="第一轮收集数量规则"/>
    <w:p>
      <w:pPr>
        <w:pStyle w:val="Heading3"/>
        <w:jc w:val="left"/>
      </w:pPr>
      <w:r>
        <w:rPr>
          <w:rFonts w:ascii="Arial Unicode MS" w:hAnsi="Arial Unicode MS" w:eastAsia="Arial Unicode MS" w:cs="Arial Unicode MS"/>
        </w:rPr>
        <w:t xml:space="preserve">4. </w:t>
      </w:r>
      <w:r>
        <w:rPr>
          <w:rFonts w:hint="eastAsia" w:ascii="Arial Unicode MS" w:hAnsi="Arial Unicode MS" w:eastAsia="Arial Unicode MS" w:cs="Arial Unicode MS"/>
        </w:rPr>
        <w:t xml:space="preserve">第一轮收集数量规则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默认一份</w:t>
      </w:r>
      <w:r>
        <w:rPr>
          <w:rFonts w:hint="eastAsia" w:ascii="Arial Unicode MS" w:hAnsi="Arial Unicode MS" w:eastAsia="Arial Unicode MS" w:cs="Arial Unicode MS"/>
        </w:rPr>
        <w:t xml:space="preserve">：除本清单另有说明外，每个编号第一轮提交一份质量最高、最完整的基准模板或成品实例即可。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实质差异才增加</w:t>
      </w:r>
      <w:r>
        <w:rPr>
          <w:rFonts w:hint="eastAsia" w:ascii="Arial Unicode MS" w:hAnsi="Arial Unicode MS" w:eastAsia="Arial Unicode MS" w:cs="Arial Unicode MS"/>
        </w:rPr>
        <w:t xml:space="preserve">：只有基金类型、GP/LP立场、国资要求、组织形式或监管路径存在实质差异时，才增加补充版本；仅基金名称、金额、日期不同的不重复提交。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文件包按一套计算</w:t>
      </w:r>
      <w:r>
        <w:rPr>
          <w:rFonts w:hint="eastAsia" w:ascii="Arial Unicode MS" w:hAnsi="Arial Unicode MS" w:eastAsia="Arial Unicode MS" w:cs="Arial Unicode MS"/>
        </w:rPr>
        <w:t xml:space="preserve">：适当性文件包、备案材料包、会议文件包、变更及清算文件包，应提交同一项目中相互匹配的一整套文件，不能只提交其中一份，也不应拼接不同项目的零散文件。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官方材料按现行一套计算</w:t>
      </w:r>
      <w:r>
        <w:rPr>
          <w:rFonts w:hint="eastAsia" w:ascii="Arial Unicode MS" w:hAnsi="Arial Unicode MS" w:eastAsia="Arial Unicode MS" w:cs="Arial Unicode MS"/>
        </w:rPr>
        <w:t xml:space="preserve">：AMAC同一事项存在多张表格、报告模板或附件的，应提交现行完整官方材料包。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Arial Unicode MS" w:hAnsi="Arial Unicode MS" w:eastAsia="Arial Unicode MS" w:cs="Arial Unicode MS"/>
          <w:b/>
          <w:bCs/>
        </w:rPr>
        <w:t xml:space="preserve">建议的首轮例外</w:t>
      </w:r>
      <w:r>
        <w:rPr>
          <w:rFonts w:hint="eastAsia" w:ascii="Arial Unicode MS" w:hAnsi="Arial Unicode MS" w:eastAsia="Arial Unicode MS" w:cs="Arial Unicode MS"/>
        </w:rPr>
        <w:t xml:space="preserve">：LPA先提交一份市场化股权/创投基金基准版；如已有成熟的国资LP或强势机构LP版本，再补充一份。Side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 xml:space="preserve">Letter优先提交一份条款覆盖较全的基准版，暂不按每种LP类型各收一份。其余编号原则上先交一份或一套，评审后再决定是否补充。</w:t>
      </w:r>
    </w:p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bookmarkEnd w:id="12"/>
    <w:bookmarkEnd w:id="13"/>
    <w:bookmarkStart w:id="14" w:name="二基金业务模板收集表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二、基金业务模板收集表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  <w:tblHeader w:val="true"/>
        </w:trPr>
        <w:tc>
          <w:tcPr>
            <w:tcW w:type="dxa" w:w="59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编号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文件或材料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具体版本与最低内容要求</w:t>
            </w:r>
          </w:p>
        </w:tc>
        <w:tc>
          <w:tcPr>
            <w:tcW w:type="dxa" w:w="651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优先级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优先来源</w:t>
            </w:r>
          </w:p>
        </w:tc>
        <w:tc>
          <w:tcPr>
            <w:tcW w:type="dxa" w:w="1955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使用级别/访问要求</w:t>
            </w:r>
          </w:p>
        </w:tc>
        <w:tc>
          <w:tcPr>
            <w:tcW w:type="dxa" w:w="138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建议提供组</w:t>
            </w:r>
          </w:p>
        </w:tc>
        <w:tc>
          <w:tcPr>
            <w:tcW w:type="dxa" w:w="822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6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FD-01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基金架构设计备忘录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境内股权/创投基金；组织形式、GP与管理人安排、税务、治理、备案和募集路径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FD-02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有限合伙协议（LPA）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首轮一份市场化股权/创投基金基准版；如有成熟国资LP或强势机构LP版本，可再补一份；对照AMAC合同指引3号、监管条例、登记备案办法和备案指引2号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AMAC规则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基金组负责人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FD-03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Side Letter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首轮一份条款覆盖较全的基准版；覆盖国资LP、母基金、战略LP常见的费用、信息权、MFN、共同投资及LPAC安排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FD-04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基金认购协议/认购申请书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与LPA衔接；包含认购承诺、陈述保证、签署生效、违约和信息授权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FD-05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投资者基本信息及合格投资者文件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基本信息表、合格投资者承诺、证明材料清单、资金来源合法性承诺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AMAC规则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空白模板T1；已填写材料按T3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基金组/合规组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FD-06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投资者适当性及风险揭示文件包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风险测评问卷、产品风险评级、匹配确认、风险揭示、冷静期和回访留痕文件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AMAC规则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空白模板T1；已填写材料按T3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基金组/合规组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FD-07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KYC/AML及实际受益人文件包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身份核验、实际受益人、制裁名单、反洗钱及反恐融资核查、异常情形升级记录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所内成熟模板/金融机构表格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空白模板T1；已填写材料按T3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基金组/合规组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FD-08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募集监督协议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募集监督银行版本或律所审阅版；说明账户、资金划转、监督职责和异常处理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银行/所内成熟文本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FD-09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基金托管协议或不托管保障文件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托管协议；如不托管，提供不托管说明、基金财产安全制度措施及风险揭示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托管机构/所内文本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FD-10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新基金备案材料包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备案材料清单、LPA、实缴及募集完成证明、投资者明细、托管/不托管文件、承诺说明等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AMAC官方材料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官方材料T1；项目包T2；投资者附件T3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FD-11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基金管理/委托管理协议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GP与管理人分离场景；明确权限、管理费、责任、利益冲突、终止和交接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FD-12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GP/合伙人会议/LPAC文件包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会议通知、议程、议案、决议、回避及书面同意；覆盖延期、关联交易、豁免和清算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FD-13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项目投资决策法律支持备忘录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DD风险概览、投资限制、审批、协议保护、交割条件、投后建议；与DD报告衔接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基金组/非诉组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FD-14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投资项目立项及投委会文件包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立项表、材料清单、表决票、投委会决议、回避记录和条件性通过事项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所内项目底稿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FD-15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投资限制及利益冲突核查表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对照LPA、备案类型、投资范围、集中度、关联交易、平行基金和共同投资安排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所内方法论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方法论按T1；项目实例按T2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基金组/合规组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FD-16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资本缴款通知（Capital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Call）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缴款金额、用途、依据条款、账户、截止日、逾期后果及送达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FD-17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分配通知（Distribution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Notice）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分配来源、金额、瀑布计算、税费、支付方式及依据条款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FD-18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向LP定期报告模板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区分基金合同约定的季度/半年度/年度报告；第一版以股权、创投基金为主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FD-19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2026年私募基金信披官方模板包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统一下载并保留官方原版：股权/创投基金半年度报告、年度报告、清算报告；注明2026年9月1日起施行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AMAC官方模板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T1共享模板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研究支持/基金组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FD-20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重大事项临时报告/通知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分向LP披露版和协会/监管报送版；明确触发事项、期限、影响和措施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现行规则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T1优先；项目实例按T2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FD-21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持续合规义务清单及合规日历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按基金类型列明募集、投资、信披、报送、变更、审计、清算等期限及责任人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A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所内方法论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AMAC规则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T1共享模板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基金组/合规组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FD-22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基金变更备案材料包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规模、期限、投资范围、GP、管理人、关键人等变更；包含决议、LPA修订、LP同意和说明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AMAC官方材料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官方材料按T1；项目实例按T2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FD-23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基金清算及注销文件包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清算决议、LP通知、清算方案、分配计算、清算报告、协会注销备案和工商注销材料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B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AMAC官方材料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官方材料按T1；项目实例按T2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FD-24</w:t>
            </w:r>
          </w:p>
        </w:tc>
        <w:tc>
          <w:tcPr>
            <w:tcW w:type="dxa" w:w="1644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私募基金管理人登记申请材料包</w:t>
            </w:r>
          </w:p>
        </w:tc>
        <w:tc>
          <w:tcPr>
            <w:tcW w:type="dxa" w:w="5102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仅在近期有管理人登记业务时收集；对照登记指引1-3号及官方材料清单</w:t>
            </w:r>
          </w:p>
        </w:tc>
        <w:tc>
          <w:tcPr>
            <w:tcW w:type="dxa" w:w="651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C</w:t>
            </w:r>
          </w:p>
        </w:tc>
        <w:tc>
          <w:tcPr>
            <w:tcW w:type="dxa" w:w="158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AMAC官方材料</w:t>
            </w:r>
            <w:r>
              <w:rPr>
                <w:rFonts w:ascii="Arial Unicode MS" w:hAnsi="Arial Unicode MS" w:eastAsia="Arial Unicode MS" w:cs="Arial Unicode MS"/>
                <w:sz w:val="16"/>
              </w:rPr>
              <w:t xml:space="preserve"> + </w:t>
            </w: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所内项目</w:t>
            </w:r>
          </w:p>
        </w:tc>
        <w:tc>
          <w:tcPr>
            <w:tcW w:type="dxa" w:w="1955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官方材料按T1；项目实例按T2</w:t>
            </w:r>
          </w:p>
        </w:tc>
        <w:tc>
          <w:tcPr>
            <w:tcW w:type="dxa" w:w="138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</w:t>
            </w:r>
          </w:p>
        </w:tc>
        <w:tc>
          <w:tcPr>
            <w:tcW w:type="dxa" w:w="822"/>
            <w:vAlign w:val="center"/>
            <w:shd w:fill="F5F8FB"/>
          </w:tcPr>
          <w:p>
            <w:r/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FD-25</w:t>
            </w:r>
          </w:p>
        </w:tc>
        <w:tc>
          <w:tcPr>
            <w:tcW w:type="dxa" w:w="1644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管理人登记法律意见书</w:t>
            </w:r>
          </w:p>
        </w:tc>
        <w:tc>
          <w:tcPr>
            <w:tcW w:type="dxa" w:w="5102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仅在近期有管理人登记业务时收集；提供核查清单、底稿目录和成品法律意见书</w:t>
            </w:r>
          </w:p>
        </w:tc>
        <w:tc>
          <w:tcPr>
            <w:tcW w:type="dxa" w:w="651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Arial Unicode MS" w:hAnsi="Arial Unicode MS" w:eastAsia="Arial Unicode MS" w:cs="Arial Unicode MS"/>
                <w:sz w:val="16"/>
              </w:rPr>
              <w:t xml:space="preserve">C</w:t>
            </w:r>
          </w:p>
        </w:tc>
        <w:tc>
          <w:tcPr>
            <w:tcW w:type="dxa" w:w="158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所内成熟模板</w:t>
            </w:r>
          </w:p>
        </w:tc>
        <w:tc>
          <w:tcPr>
            <w:tcW w:type="dxa" w:w="1955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T2受限种子；转T1时去客户化</w:t>
            </w:r>
          </w:p>
        </w:tc>
        <w:tc>
          <w:tcPr>
            <w:tcW w:type="dxa" w:w="138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6"/>
              </w:rPr>
              <w:t xml:space="preserve">基金组负责人</w:t>
            </w:r>
          </w:p>
        </w:tc>
        <w:tc>
          <w:tcPr>
            <w:tcW w:type="dxa" w:w="822"/>
            <w:vAlign w:val="center"/>
          </w:tcPr>
          <w:p>
            <w:r/>
          </w:p>
        </w:tc>
      </w:tr>
    </w:tbl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bookmarkEnd w:id="14"/>
    <w:bookmarkStart w:id="15" w:name="三法规和版本提示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三、法规和版本提示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私募基金合同指引编号统一为：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1号-契约型基金合同；2号-公司章程；3号-合伙协议</w:t>
      </w:r>
      <w:r>
        <w:rPr>
          <w:rFonts w:ascii="Arial Unicode MS" w:hAnsi="Arial Unicode MS" w:eastAsia="Arial Unicode MS" w:cs="Arial Unicode MS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境内股权、创业投资基金备案重点对照《私募投资基金备案指引第2号-私募股权、创业投资基金》及配套材料清单。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2026年私募基金信息披露新规及AMAC重要内容模板自</w:t>
      </w:r>
      <w:r>
        <w:rPr>
          <w:rFonts w:hint="eastAsia" w:ascii="Arial Unicode MS" w:hAnsi="Arial Unicode MS" w:eastAsia="Arial Unicode MS" w:cs="Arial Unicode MS"/>
          <w:b/>
          <w:bCs/>
        </w:rPr>
        <w:t xml:space="preserve">2026年9月1日</w:t>
      </w:r>
      <w:r>
        <w:rPr>
          <w:rFonts w:hint="eastAsia" w:ascii="Arial Unicode MS" w:hAnsi="Arial Unicode MS" w:eastAsia="Arial Unicode MS" w:cs="Arial Unicode MS"/>
        </w:rPr>
        <w:t xml:space="preserve">起施行。收集时应保留当前版本，同时准备新规版本。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Arial Unicode MS" w:hAnsi="Arial Unicode MS" w:eastAsia="Arial Unicode MS" w:cs="Arial Unicode MS"/>
        </w:rPr>
        <w:t xml:space="preserve">股权、创投基金的官方定期报告模板与私募证券基金不同，不得将季度、半年度和年度报告混为同一版本。</w:t>
      </w:r>
    </w:p>
    <w:p>
      <w:pPr>
        <w:pStyle w:val="Compact"/>
        <w:numPr>
          <w:ilvl w:val="0"/>
          <w:numId w:val="1005"/>
        </w:numPr>
      </w:pPr>
      <w:r>
        <w:rPr>
          <w:rFonts w:ascii="Arial Unicode MS" w:hAnsi="Arial Unicode MS" w:eastAsia="Arial Unicode MS" w:cs="Arial Unicode MS"/>
        </w:rPr>
        <w:t xml:space="preserve">LPA、Side </w:t>
      </w:r>
      <w:r>
        <w:rPr>
          <w:rFonts w:hint="eastAsia" w:ascii="Arial Unicode MS" w:hAnsi="Arial Unicode MS" w:eastAsia="Arial Unicode MS" w:cs="Arial Unicode MS"/>
        </w:rPr>
        <w:t xml:space="preserve">Letter、认购协议、风险揭示书、托管或不托管文件之间应保持一致，重点核对费用、投资范围、信息披露、关联交易、期限、变更和清算条款。</w:t>
      </w:r>
    </w:p>
    <w:bookmarkEnd w:id="15"/>
    <w:bookmarkStart w:id="16" w:name="四认领与汇总建议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四、认领与汇总建议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基金组负责人先认领A类材料，并填写提供人及预计提交日期。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每个编号原则上选定一份基准模板；只有场景、立场或基金类型存在实质差异时才增加版本。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研究支持人员统一下载AMAC及证监会官方文件，避免重复准备。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汇总人员应核对每份资料的T1/T2/T3/T4等级、来源和授权范围；T2、T3资料须配置相应访问权限，不得默认进入全所共享检索。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Arial Unicode MS" w:hAnsi="Arial Unicode MS" w:eastAsia="Arial Unicode MS" w:cs="Arial Unicode MS"/>
        </w:rPr>
        <w:t xml:space="preserve">第一轮收集完成后，由基金组召开评审会，确定基准版、补充版及暂不采用文件。</w:t>
      </w:r>
    </w:p>
    <w:bookmarkEnd w:id="16"/>
    <w:bookmarkStart w:id="17" w:name="五第一轮建议时间表"/>
    <w:p>
      <w:pPr>
        <w:pStyle w:val="Heading2"/>
        <w:jc w:val="left"/>
      </w:pPr>
      <w:r>
        <w:rPr>
          <w:rFonts w:hint="eastAsia" w:ascii="Arial Unicode MS" w:hAnsi="Arial Unicode MS" w:eastAsia="Arial Unicode MS" w:cs="Arial Unicode MS"/>
        </w:rPr>
        <w:t xml:space="preserve">五、第一轮建议时间表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AAB7C4"/>
          <w:insideV w:val="single" w:sz="4" w:color="AAB7C4"/>
        </w:tblBorders>
      </w:tblPr>
      <w:tblGrid>
        <w:gridCol w:w="2640"/>
        <w:gridCol w:w="2640"/>
        <w:gridCol w:w="2640"/>
      </w:tblGrid>
      <w:tr>
        <w:trPr>
          <w:tblHeader w:val="on"/>
          <w:cantSplit/>
          <w:tblHeader w:val="true"/>
        </w:trPr>
        <w:tc>
          <w:tcPr>
            <w:tcW w:type="dxa" w:w="1870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阶段</w:t>
            </w:r>
          </w:p>
        </w:tc>
        <w:tc>
          <w:tcPr>
            <w:tcW w:type="dxa" w:w="4308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工作</w:t>
            </w:r>
          </w:p>
        </w:tc>
        <w:tc>
          <w:tcPr>
            <w:tcW w:type="dxa" w:w="8447"/>
            <w:vAlign w:val="center"/>
            <w:shd w:fill="D9EAF7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b/>
                <w:color w:val="1F4E79"/>
                <w:sz w:val="18"/>
              </w:rPr>
              <w:t xml:space="preserve">建议完成时间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认领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确定每项提供人、现有文件情况和预计提交日期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发出清单后3个工作日内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A类提交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提交A类模板、成品实例或完整文件包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认领后7个工作日内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初步复核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检查完整性、版本、来源、授权及资料等级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提交后5个工作日内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B类补充</w:t>
            </w:r>
          </w:p>
        </w:tc>
        <w:tc>
          <w:tcPr>
            <w:tcW w:type="dxa" w:w="4308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根据缺口补充B类材料和变体</w:t>
            </w:r>
          </w:p>
        </w:tc>
        <w:tc>
          <w:tcPr>
            <w:tcW w:type="dxa" w:w="8447"/>
            <w:vAlign w:val="center"/>
            <w:shd w:fill="F5F8FB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初步复核后7个工作日内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基准确认</w:t>
            </w:r>
          </w:p>
        </w:tc>
        <w:tc>
          <w:tcPr>
            <w:tcW w:type="dxa" w:w="4308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基金组评审并确认每项基准模板</w:t>
            </w:r>
          </w:p>
        </w:tc>
        <w:tc>
          <w:tcPr>
            <w:tcW w:type="dxa" w:w="8447"/>
            <w:vAlign w:val="center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hint="eastAsia" w:ascii="Arial Unicode MS" w:hAnsi="Arial Unicode MS" w:eastAsia="Arial Unicode MS" w:cs="Arial Unicode MS"/>
                <w:sz w:val="18"/>
              </w:rPr>
              <w:t xml:space="preserve">B类补充后5个工作日内</w:t>
            </w:r>
          </w:p>
        </w:tc>
      </w:tr>
    </w:tbl>
    <w:p>
      <w:r>
        <w:rPr>
          <w:rFonts w:ascii="Arial Unicode MS" w:hAnsi="Arial Unicode MS" w:eastAsia="Arial Unicode MS" w:cs="Arial Unicode MS"/>
        </w:rPr>
        <w:pict>
          <v:rect style="width:0;height:1.5pt" o:hralign="center" o:hrstd="t" o:hr="t"/>
        </w:pict>
      </w:r>
    </w:p>
    <w:p>
      <w:pPr>
        <w:pStyle w:val="BlockText"/>
        <w:keepLines/>
        <w:spacing w:before="160"/>
      </w:pPr>
      <w:r>
        <w:rPr>
          <w:rFonts w:hint="eastAsia" w:ascii="Arial Unicode MS" w:hAnsi="Arial Unicode MS" w:eastAsia="Arial Unicode MS" w:cs="Arial Unicode MS"/>
        </w:rPr>
        <w:t xml:space="preserve">本文件为基金业务第一批第一版，供内部认领和征求意见使用。模板是否最终采用，应在完成来源及授权、现行法规、内容质量和资料分级复核后确定。</w:t>
      </w:r>
    </w:p>
    <w:bookmarkEnd w:id="17"/>
    <w:bookmarkEnd w:id="18"/>
    <w:sectPr>
      <w:footnotePr>
        <w:numRestart w:val="eachSect"/>
      </w:footnotePr>
      <w:pgSz w:orient="landscape" w:w="16838" w:h="11906"/>
      <w:pgMar w:top="822" w:bottom="765" w:left="794" w:right="794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hAnsi="Arial Unicode MS" w:eastAsia="Arial Unicode MS" w:cs="Arial Unicode MS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9" w:lineRule="auto"/>
    </w:pPr>
    <w:rPr>
      <w:rFonts w:ascii="Arial Unicode MS" w:hAnsi="Arial Unicode MS" w:eastAsia="Arial Unicode MS" w:cs="Arial Unicode M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00" w:line="240" w:lineRule="auto" w:before="160"/>
      <w:contextualSpacing/>
      <w:jc w:val="center"/>
    </w:pPr>
    <w:rPr>
      <w:rFonts w:ascii="Arial Unicode MS" w:hAnsi="Arial Unicode MS" w:eastAsia="Arial Unicode MS" w:cs="Arial Unicode MS"/>
      <w:b/>
      <w:color w:val="1F4E79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 Unicode MS" w:hAnsi="Arial Unicode MS" w:eastAsia="Arial Unicode MS" w:cs="Arial Unicode MS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 Unicode MS" w:hAnsi="Arial Unicode MS" w:eastAsia="Arial Unicode MS" w:cs="Arial Unicode MS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 Unicode MS" w:hAnsi="Arial Unicode MS" w:eastAsia="Arial Unicode MS" w:cs="Arial Unicode MS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160"/>
      <w:outlineLvl w:val="0"/>
    </w:pPr>
    <w:rPr>
      <w:rFonts w:ascii="Arial Unicode MS" w:hAnsi="Arial Unicode MS" w:eastAsia="Arial Unicode MS" w:cs="Arial Unicode MS"/>
      <w:b/>
      <w:color w:val="1F4E79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160"/>
      <w:outlineLvl w:val="1"/>
    </w:pPr>
    <w:rPr>
      <w:rFonts w:ascii="Arial Unicode MS" w:hAnsi="Arial Unicode MS" w:eastAsia="Arial Unicode MS" w:cs="Arial Unicode MS"/>
      <w:b/>
      <w:color w:val="1F4E79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160"/>
      <w:outlineLvl w:val="2"/>
    </w:pPr>
    <w:rPr>
      <w:rFonts w:ascii="Arial Unicode MS" w:hAnsi="Arial Unicode MS" w:eastAsia="Arial Unicode MS" w:cs="Arial Unicode MS"/>
      <w:b/>
      <w:color w:val="2F54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 Unicode MS" w:hAnsi="Arial Unicode MS" w:eastAsia="Arial Unicode MS" w:cs="Arial Unicode MS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 Unicode MS" w:hAnsi="Arial Unicode MS" w:eastAsia="Arial Unicode MS" w:cs="Arial Unicode MS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 Unicode MS" w:hAnsi="Arial Unicode MS" w:eastAsia="Arial Unicode MS" w:cs="Arial Unicode MS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 Unicode MS" w:hAnsi="Arial Unicode MS" w:eastAsia="Arial Unicode MS" w:cs="Arial Unicode MS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 Unicode MS" w:hAnsi="Arial Unicode MS" w:eastAsia="Arial Unicode MS" w:cs="Arial Unicode MS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 Unicode MS" w:hAnsi="Arial Unicode MS" w:eastAsia="Arial Unicode MS" w:cs="Arial Unicode MS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 Unicode MS" w:hAnsi="Arial Unicode MS" w:eastAsia="Arial Unicode MS" w:cs="Arial Unicode MS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 Unicode MS" w:hAnsi="Arial Unicode MS" w:eastAsia="Arial Unicode MS" w:cs="Arial Unicode MS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 Unicode MS" w:hAnsi="Arial Unicode MS" w:eastAsia="Arial Unicode MS" w:cs="Arial Unicode MS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 Unicode MS" w:hAnsi="Arial Unicode MS" w:eastAsia="Arial Unicode MS" w:cs="Arial Unicode MS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 Unicode MS" w:hAnsi="Arial Unicode MS" w:eastAsia="Arial Unicode MS" w:cs="Arial Unicode MS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 Unicode MS" w:hAnsi="Arial Unicode MS" w:eastAsia="Arial Unicode MS" w:cs="Arial Unicode MS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 Unicode MS" w:hAnsi="Arial Unicode MS" w:eastAsia="Arial Unicode MS" w:cs="Arial Unicode MS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 Unicode MS" w:hAnsi="Arial Unicode MS" w:eastAsia="Arial Unicode MS" w:cs="Arial Unicode MS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 Unicode MS" w:hAnsi="Arial Unicode MS" w:eastAsia="Arial Unicode MS" w:cs="Arial Unicode MS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 Unicode MS" w:hAnsi="Arial Unicode MS" w:eastAsia="Arial Unicode MS" w:cs="Arial Unicode M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 Unicode MS"/>
        <a:cs typeface="Arial Unicode M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 Unicode MS"/>
        <a:cs typeface="Arial Unicode M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2026-07-18T10:13:15Z</dcterms:created>
  <dcterms:modified xsi:type="dcterms:W3CDTF">2026-07-18T10:13:15Z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cope">
    <vt:lpwstr>境内私募股权投资基金、创业投资基金</vt:lpwstr>
  </property>
  <property fmtid="{D5CDD505-2E9C-101B-9397-08002B2CF9AE}" pid="4" name="status">
    <vt:lpwstr>征求意见稿</vt:lpwstr>
  </property>
  <property fmtid="{D5CDD505-2E9C-101B-9397-08002B2CF9AE}" pid="5" name="version">
    <vt:lpwstr>v1.0</vt:lpwstr>
  </property>
</Properties>
</file>