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百宸律师事务所非诉业务法律文件模板第一批收集清单"/>
    <w:p>
      <w:pPr>
        <w:pStyle w:val="Heading1"/>
        <w:jc w:val="center"/>
      </w:pPr>
      <w:r>
        <w:rPr>
          <w:rFonts w:hint="eastAsia" w:ascii="Arial Unicode MS" w:hAnsi="Arial Unicode MS" w:eastAsia="Arial Unicode MS" w:cs="Arial Unicode MS"/>
        </w:rPr>
        <w:t xml:space="preserve">百宸律师事务所非诉业务法律文件模板第一批收集清单</w:t>
      </w:r>
    </w:p>
    <w:bookmarkStart w:id="13" w:name="一使用说明"/>
    <w:p>
      <w:pPr>
        <w:pStyle w:val="Heading2"/>
        <w:jc w:val="left"/>
      </w:pPr>
      <w:r>
        <w:rPr>
          <w:rFonts w:hint="eastAsia" w:ascii="Arial Unicode MS" w:hAnsi="Arial Unicode MS" w:eastAsia="Arial Unicode MS" w:cs="Arial Unicode MS"/>
        </w:rPr>
        <w:t xml:space="preserve">一、使用说明</w:t>
      </w:r>
    </w:p>
    <w:bookmarkStart w:id="9" w:name="本批目标"/>
    <w:p>
      <w:pPr>
        <w:pStyle w:val="Heading3"/>
        <w:jc w:val="left"/>
      </w:pPr>
      <w:r>
        <w:rPr>
          <w:rFonts w:ascii="Arial Unicode MS" w:hAnsi="Arial Unicode MS" w:eastAsia="Arial Unicode MS" w:cs="Arial Unicode MS"/>
        </w:rPr>
        <w:t xml:space="preserve">1. </w:t>
      </w:r>
      <w:r>
        <w:rPr>
          <w:rFonts w:hint="eastAsia" w:ascii="Arial Unicode MS" w:hAnsi="Arial Unicode MS" w:eastAsia="Arial Unicode MS" w:cs="Arial Unicode MS"/>
        </w:rPr>
        <w:t xml:space="preserve">本批目标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第一批围绕以下业务和功能收集材料：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 w:cs="Arial Unicode MS"/>
          <w:b/>
          <w:bCs/>
        </w:rPr>
        <w:t xml:space="preserve">第一优先：投融资尽职调查报告编写</w:t>
      </w:r>
      <w:r>
        <w:rPr>
          <w:rFonts w:hint="eastAsia" w:ascii="Arial Unicode MS" w:hAnsi="Arial Unicode MS" w:eastAsia="Arial Unicode MS" w:cs="Arial Unicode MS"/>
        </w:rPr>
        <w:t xml:space="preserve">，覆盖资料收集、核查底稿、问题识别、报告起草、审阅和补充更新的完整流程；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 w:cs="Arial Unicode MS"/>
          <w:b/>
          <w:bCs/>
        </w:rPr>
        <w:t xml:space="preserve">非诉投融资交易及VIE/红筹专项</w:t>
      </w:r>
      <w:r>
        <w:rPr>
          <w:rFonts w:hint="eastAsia" w:ascii="Arial Unicode MS" w:hAnsi="Arial Unicode MS" w:eastAsia="Arial Unicode MS" w:cs="Arial Unicode MS"/>
        </w:rPr>
        <w:t xml:space="preserve">，覆盖交易前期、投资协议、交割、投后事项、红筹架构搭建、VIE协议、外汇登记及境外上市准备。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基金业务另见《百宸律师事务所基金业务法律文件模板第一批收集清单》，不在本文件重复列示。</w:t>
      </w:r>
    </w:p>
    <w:p>
      <w:pPr>
        <w:pStyle w:val="BodyText"/>
      </w:pPr>
      <w:r>
        <w:rPr>
          <w:rFonts w:hint="eastAsia" w:ascii="Arial Unicode MS" w:hAnsi="Arial Unicode MS" w:eastAsia="Arial Unicode MS" w:cs="Arial Unicode MS"/>
        </w:rPr>
        <w:t xml:space="preserve">本版将IPO法律尽调报告和VIE/红筹文件列入第一批，但暂不将IPO申报全套文件、重大资产重组、银行及银团贷款、债券、ABS/REITs、Web3、海商和基础设施项目列为第一批核心任务。相关文件保留到后续批次，根据律所实际业务量再安排。</w:t>
      </w:r>
    </w:p>
    <w:bookmarkEnd w:id="9"/>
    <w:bookmarkStart w:id="10" w:name="优先级"/>
    <w:p>
      <w:pPr>
        <w:pStyle w:val="Heading3"/>
        <w:jc w:val="left"/>
      </w:pPr>
      <w:r>
        <w:rPr>
          <w:rFonts w:ascii="Arial Unicode MS" w:hAnsi="Arial Unicode MS" w:eastAsia="Arial Unicode MS" w:cs="Arial Unicode MS"/>
        </w:rPr>
        <w:t xml:space="preserve">2. </w:t>
      </w:r>
      <w:r>
        <w:rPr>
          <w:rFonts w:hint="eastAsia" w:ascii="Arial Unicode MS" w:hAnsi="Arial Unicode MS" w:eastAsia="Arial Unicode MS" w:cs="Arial Unicode MS"/>
        </w:rPr>
        <w:t xml:space="preserve">优先级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 w:cs="Arial Unicode MS"/>
          <w:b/>
          <w:bCs/>
        </w:rPr>
        <w:t xml:space="preserve">A（立即准备）</w:t>
      </w:r>
      <w:r>
        <w:rPr>
          <w:rFonts w:hint="eastAsia" w:ascii="Arial Unicode MS" w:hAnsi="Arial Unicode MS" w:eastAsia="Arial Unicode MS" w:cs="Arial Unicode MS"/>
        </w:rPr>
        <w:t xml:space="preserve">：直接影响第一版功能上线或构成业务闭环的核心材料；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 w:cs="Arial Unicode MS"/>
          <w:b/>
          <w:bCs/>
        </w:rPr>
        <w:t xml:space="preserve">B（本批补充）</w:t>
      </w:r>
      <w:r>
        <w:rPr>
          <w:rFonts w:hint="eastAsia" w:ascii="Arial Unicode MS" w:hAnsi="Arial Unicode MS" w:eastAsia="Arial Unicode MS" w:cs="Arial Unicode MS"/>
        </w:rPr>
        <w:t xml:space="preserve">：完成</w:t>
      </w:r>
      <w:r>
        <w:rPr>
          <w:rFonts w:ascii="Arial Unicode MS" w:hAnsi="Arial Unicode MS" w:eastAsia="Arial Unicode MS" w:cs="Arial Unicode MS"/>
        </w:rPr>
        <w:t xml:space="preserve"> A </w:t>
      </w:r>
      <w:r>
        <w:rPr>
          <w:rFonts w:hint="eastAsia" w:ascii="Arial Unicode MS" w:hAnsi="Arial Unicode MS" w:eastAsia="Arial Unicode MS" w:cs="Arial Unicode MS"/>
        </w:rPr>
        <w:t xml:space="preserve">类后继续准备的重要变体或配套材料；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 w:cs="Arial Unicode MS"/>
          <w:b/>
          <w:bCs/>
        </w:rPr>
        <w:t xml:space="preserve">C（条件收集）</w:t>
      </w:r>
      <w:r>
        <w:rPr>
          <w:rFonts w:hint="eastAsia" w:ascii="Arial Unicode MS" w:hAnsi="Arial Unicode MS" w:eastAsia="Arial Unicode MS" w:cs="Arial Unicode MS"/>
        </w:rPr>
        <w:t xml:space="preserve">：仅在律所近期确有对应业务时收集。</w:t>
      </w:r>
    </w:p>
    <w:bookmarkEnd w:id="10"/>
    <w:bookmarkStart w:id="11" w:name="资料使用等级和提交要求"/>
    <w:p>
      <w:pPr>
        <w:pStyle w:val="Heading3"/>
        <w:jc w:val="left"/>
      </w:pPr>
      <w:r>
        <w:rPr>
          <w:rFonts w:ascii="Arial Unicode MS" w:hAnsi="Arial Unicode MS" w:eastAsia="Arial Unicode MS" w:cs="Arial Unicode MS"/>
        </w:rPr>
        <w:t xml:space="preserve">3. </w:t>
      </w:r>
      <w:r>
        <w:rPr>
          <w:rFonts w:hint="eastAsia" w:ascii="Arial Unicode MS" w:hAnsi="Arial Unicode MS" w:eastAsia="Arial Unicode MS" w:cs="Arial Unicode MS"/>
        </w:rPr>
        <w:t xml:space="preserve">资料使用等级和提交要求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本所AI系统采用本地部署。种子文件不再要求一律脱敏，而是按用途和访问范围分级管理：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color="AAB7C4"/>
          <w:left w:val="single" w:sz="4" w:color="AAB7C4"/>
          <w:bottom w:val="single" w:sz="4" w:color="AAB7C4"/>
          <w:right w:val="single" w:sz="4" w:color="AAB7C4"/>
          <w:insideH w:val="single" w:sz="4" w:color="AAB7C4"/>
          <w:insideV w:val="single" w:sz="4" w:color="AAB7C4"/>
        </w:tblBorders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tcW w:type="dxa" w:w="1870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8"/>
              </w:rPr>
              <w:t xml:space="preserve">等级</w:t>
            </w:r>
          </w:p>
        </w:tc>
        <w:tc>
          <w:tcPr>
            <w:tcW w:type="dxa" w:w="4308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8"/>
              </w:rPr>
              <w:t xml:space="preserve">适用资料</w:t>
            </w:r>
          </w:p>
        </w:tc>
        <w:tc>
          <w:tcPr>
            <w:tcW w:type="dxa" w:w="8447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8"/>
              </w:rPr>
              <w:t xml:space="preserve">提交及使用标准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 xml:space="preserve">T1 </w:t>
            </w: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全所共享模板</w:t>
            </w:r>
          </w:p>
        </w:tc>
        <w:tc>
          <w:tcPr>
            <w:tcW w:type="dxa" w:w="4308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空白模板、标准文本、内部方法论、官方公开文件</w:t>
            </w:r>
          </w:p>
        </w:tc>
        <w:tc>
          <w:tcPr>
            <w:tcW w:type="dxa" w:w="8447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不保留客户或具体项目身份信息，可进入全所共享模板库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 xml:space="preserve">T2 </w:t>
            </w: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所内受限种子</w:t>
            </w:r>
          </w:p>
        </w:tc>
        <w:tc>
          <w:tcPr>
            <w:tcW w:type="dxa" w:w="4308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已办结项目的优质报告、协议、项目文件包和成品实例</w:t>
            </w:r>
          </w:p>
        </w:tc>
        <w:tc>
          <w:tcPr>
            <w:tcW w:type="dxa" w:w="8447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可以保留原文；须确认来源和内部使用权限，进入受限种子区，按业务组或授权人员控制访问，不默认跨项目检索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 xml:space="preserve">T3 </w:t>
            </w: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项目专属资料</w:t>
            </w:r>
          </w:p>
        </w:tc>
        <w:tc>
          <w:tcPr>
            <w:tcW w:type="dxa" w:w="4308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在办项目底稿、客户原始资料、访谈记录、证照及个人信息材料</w:t>
            </w:r>
          </w:p>
        </w:tc>
        <w:tc>
          <w:tcPr>
            <w:tcW w:type="dxa" w:w="8447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仅在相应项目空间使用，不进入通用模板库或通用训练集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 xml:space="preserve">T4 </w:t>
            </w: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特别敏感资料</w:t>
            </w:r>
          </w:p>
        </w:tc>
        <w:tc>
          <w:tcPr>
            <w:tcW w:type="dxa" w:w="4308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涉及国家秘密、重大未公开交易或大量敏感个人信息等资料</w:t>
            </w:r>
          </w:p>
        </w:tc>
        <w:tc>
          <w:tcPr>
            <w:tcW w:type="dxa" w:w="8447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原则上不作为通用种子；确有必要时须单独审批并采取更严格隔离措施</w:t>
            </w:r>
          </w:p>
        </w:tc>
      </w:tr>
    </w:tbl>
    <w:p>
      <w:pPr>
        <w:pStyle w:val="BodyText"/>
      </w:pPr>
      <w:r>
        <w:rPr>
          <w:rFonts w:hint="eastAsia" w:ascii="Arial Unicode MS" w:hAnsi="Arial Unicode MS" w:eastAsia="Arial Unicode MS" w:cs="Arial Unicode MS"/>
        </w:rPr>
        <w:t xml:space="preserve">提交时还应遵循以下要求：</w:t>
      </w:r>
    </w:p>
    <w:p>
      <w:pPr>
        <w:pStyle w:val="Compact"/>
        <w:numPr>
          <w:ilvl w:val="0"/>
          <w:numId w:val="1003"/>
        </w:numPr>
      </w:pPr>
      <w:r>
        <w:rPr>
          <w:rFonts w:ascii="Arial Unicode MS" w:hAnsi="Arial Unicode MS" w:eastAsia="Arial Unicode MS"/>
        </w:rPr>
        <w:t>优先提供本所在过往项目中实际使用、审阅、修改或经谈判验证的成熟版本；文件不以本所最初起草为限。没有项目版本的，再采用官方或行业协会版本。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Arial Unicode MS" w:hAnsi="Arial Unicode MS" w:eastAsia="Arial Unicode MS" w:cs="Arial Unicode MS"/>
        </w:rPr>
        <w:t xml:space="preserve">T2文件可以保留客户名称、交易金额及完整上下文，但应与T1共享模板分区保存；拟将T2文件转化为T1模板时，再进行去客户化和内容提炼。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Arial Unicode MS" w:hAnsi="Arial Unicode MS" w:eastAsia="Arial Unicode MS" w:cs="Arial Unicode MS"/>
        </w:rPr>
        <w:t xml:space="preserve">提交人应确认资料来源、客户约定和本所内部制度允许用于所内模板建设；来源或授权范围不明确的，暂不纳入。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Arial Unicode MS" w:hAnsi="Arial Unicode MS" w:eastAsia="Arial Unicode MS" w:cs="Arial Unicode MS"/>
        </w:rPr>
        <w:t xml:space="preserve">本地部署还应覆盖向量库、OCR、嵌入模型、缓存、日志和备份，避免通过外部接口或无权限检索造成资料扩散。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Arial Unicode MS" w:hAnsi="Arial Unicode MS" w:eastAsia="Arial Unicode MS" w:cs="Arial Unicode MS"/>
        </w:rPr>
        <w:t xml:space="preserve">批注、修订记录、作者信息、文件属性、隐藏工作表和附件可以作为T2原始语境保留，但系统应继承正文相同的访问权限；转为T1时一并清理。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Arial Unicode MS" w:hAnsi="Arial Unicode MS" w:eastAsia="Arial Unicode MS" w:cs="Arial Unicode MS"/>
        </w:rPr>
        <w:t xml:space="preserve">优先提交可编辑的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Style w:val="VerbatimChar"/>
          <w:rFonts w:ascii="Arial Unicode MS" w:hAnsi="Arial Unicode MS" w:eastAsia="Arial Unicode MS" w:cs="Arial Unicode MS"/>
        </w:rPr>
        <w:t xml:space="preserve">.docx</w:t>
      </w:r>
      <w:r>
        <w:rPr>
          <w:rFonts w:ascii="Arial Unicode MS" w:hAnsi="Arial Unicode MS" w:eastAsia="Arial Unicode MS" w:cs="Arial Unicode MS"/>
        </w:rPr>
        <w:t xml:space="preserve">、</w:t>
      </w:r>
      <w:r>
        <w:rPr>
          <w:rStyle w:val="VerbatimChar"/>
          <w:rFonts w:ascii="Arial Unicode MS" w:hAnsi="Arial Unicode MS" w:eastAsia="Arial Unicode MS" w:cs="Arial Unicode MS"/>
        </w:rPr>
        <w:t xml:space="preserve">.xlsx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或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Style w:val="VerbatimChar"/>
          <w:rFonts w:ascii="Arial Unicode MS" w:hAnsi="Arial Unicode MS" w:eastAsia="Arial Unicode MS" w:cs="Arial Unicode MS"/>
        </w:rPr>
        <w:t xml:space="preserve">.pptx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文件；PDF仅作为官方原版或盖章样例补充。</w:t>
      </w:r>
    </w:p>
    <w:p>
      <w:pPr>
        <w:pStyle w:val="Compact"/>
        <w:numPr>
          <w:ilvl w:val="0"/>
          <w:numId w:val="1003"/>
        </w:numPr>
      </w:pPr>
      <w:r>
        <w:rPr>
          <w:rFonts w:ascii="Arial Unicode MS" w:hAnsi="Arial Unicode MS" w:eastAsia="Arial Unicode MS"/>
        </w:rPr>
        <w:t>过往项目中通过正常业务往来取得的高质量文件可以提交，包括由客户、交易对方、其他中介机构或其他律所提供或参与起草的版本；提交时应注明取得项目、文件来源及本所使用角色。仅排除来源不明、通过非正常渠道取得、受明确禁止复制或内部再利用约束，或者付费模板库许可范围不允许纳入的材料。</w:t>
      </w:r>
    </w:p>
    <w:p>
      <w:pPr>
        <w:pStyle w:val="Compact"/>
        <w:numPr>
          <w:ilvl w:val="0"/>
          <w:numId w:val="1003"/>
        </w:numPr>
      </w:pPr>
      <w:r>
        <w:rPr>
          <w:rFonts w:ascii="Arial Unicode MS" w:hAnsi="Arial Unicode MS" w:eastAsia="Arial Unicode MS"/>
        </w:rPr>
        <w:t>状态栏保持空白，由整理人根据实际情况打钩、填写提供人或补充备注。</w:t>
      </w:r>
    </w:p>
    <w:bookmarkEnd w:id="11"/>
    <w:bookmarkStart w:id="12" w:name="第一轮收集数量规则"/>
    <w:p>
      <w:pPr>
        <w:pStyle w:val="Heading3"/>
        <w:jc w:val="left"/>
      </w:pPr>
      <w:r>
        <w:rPr>
          <w:rFonts w:ascii="Arial Unicode MS" w:hAnsi="Arial Unicode MS" w:eastAsia="Arial Unicode MS" w:cs="Arial Unicode MS"/>
        </w:rPr>
        <w:t xml:space="preserve">4. </w:t>
      </w:r>
      <w:r>
        <w:rPr>
          <w:rFonts w:hint="eastAsia" w:ascii="Arial Unicode MS" w:hAnsi="Arial Unicode MS" w:eastAsia="Arial Unicode MS" w:cs="Arial Unicode MS"/>
        </w:rPr>
        <w:t xml:space="preserve">第一轮收集数量规则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eastAsia="Arial Unicode MS" w:cs="Arial Unicode MS"/>
          <w:b/>
          <w:bCs/>
        </w:rPr>
        <w:t xml:space="preserve">默认一份</w:t>
      </w:r>
      <w:r>
        <w:rPr>
          <w:rFonts w:hint="eastAsia" w:ascii="Arial Unicode MS" w:hAnsi="Arial Unicode MS" w:eastAsia="Arial Unicode MS" w:cs="Arial Unicode MS"/>
        </w:rPr>
        <w:t xml:space="preserve">：除本清单另有说明外，每个编号第一轮提交一份质量最高、最完整的基准模板或成品实例即可，不以堆积同类文件为目标。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eastAsia="Arial Unicode MS" w:cs="Arial Unicode MS"/>
          <w:b/>
          <w:bCs/>
        </w:rPr>
        <w:t xml:space="preserve">实质差异才增加</w:t>
      </w:r>
      <w:r>
        <w:rPr>
          <w:rFonts w:hint="eastAsia" w:ascii="Arial Unicode MS" w:hAnsi="Arial Unicode MS" w:eastAsia="Arial Unicode MS" w:cs="Arial Unicode MS"/>
        </w:rPr>
        <w:t xml:space="preserve">：只有交易立场、法律结构、适用法域或监管路径存在实质差异时，才增加补充版本；仅客户名称、金额、日期不同的不重复提交。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eastAsia="Arial Unicode MS" w:cs="Arial Unicode MS"/>
          <w:b/>
          <w:bCs/>
        </w:rPr>
        <w:t xml:space="preserve">文件包按一套计算</w:t>
      </w:r>
      <w:r>
        <w:rPr>
          <w:rFonts w:hint="eastAsia" w:ascii="Arial Unicode MS" w:hAnsi="Arial Unicode MS" w:eastAsia="Arial Unicode MS" w:cs="Arial Unicode MS"/>
        </w:rPr>
        <w:t xml:space="preserve">：VIE协议包、交割文件包、公司决议包等应提交同一项目中相互匹配的一整套文件，不能只提交其中一份，也不应拼接不同项目的零散文件。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eastAsia="Arial Unicode MS" w:cs="Arial Unicode MS"/>
          <w:b/>
          <w:bCs/>
        </w:rPr>
        <w:t xml:space="preserve">官方材料按现行一套计算</w:t>
      </w:r>
      <w:r>
        <w:rPr>
          <w:rFonts w:hint="eastAsia" w:ascii="Arial Unicode MS" w:hAnsi="Arial Unicode MS" w:eastAsia="Arial Unicode MS" w:cs="Arial Unicode MS"/>
        </w:rPr>
        <w:t xml:space="preserve">：同一事项存在多张法定表格或附件的，应提交现行完整官方材料包。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eastAsia="Arial Unicode MS" w:cs="Arial Unicode MS"/>
          <w:b/>
          <w:bCs/>
        </w:rPr>
        <w:t xml:space="preserve">建议的首轮例外</w:t>
      </w:r>
      <w:r>
        <w:rPr>
          <w:rFonts w:hint="eastAsia" w:ascii="Arial Unicode MS" w:hAnsi="Arial Unicode MS" w:eastAsia="Arial Unicode MS" w:cs="Arial Unicode MS"/>
        </w:rPr>
        <w:t xml:space="preserve">：NDA可提交单向、双向各一份；股权购买/转让协议可提交简式股权转让版、并购SPA版各一份；VIE核心协议和配套文件各提交一套完整项目版本。除此之外，原则上先交一份，评审后再决定是否补充。</w:t>
      </w:r>
    </w:p>
    <w:p>
      <w:r>
        <w:rPr>
          <w:rFonts w:ascii="Arial Unicode MS" w:hAnsi="Arial Unicode MS" w:eastAsia="Arial Unicode MS" w:cs="Arial Unicode MS"/>
        </w:rPr>
        <w:pict>
          <v:rect style="width:0;height:1.5pt" o:hralign="center" o:hrstd="t" o:hr="t"/>
        </w:pict>
      </w:r>
    </w:p>
    <w:bookmarkEnd w:id="12"/>
    <w:bookmarkEnd w:id="13"/>
    <w:bookmarkStart w:id="16" w:name="二dd-尽职调查专项收集表"/>
    <w:p>
      <w:pPr>
        <w:pStyle w:val="Heading2"/>
        <w:jc w:val="left"/>
      </w:pPr>
      <w:r>
        <w:rPr>
          <w:rFonts w:hint="eastAsia" w:ascii="Arial Unicode MS" w:hAnsi="Arial Unicode MS" w:eastAsia="Arial Unicode MS" w:cs="Arial Unicode MS"/>
        </w:rPr>
        <w:t xml:space="preserve">二、DD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尽职调查专项收集表</w:t>
      </w:r>
    </w:p>
    <w:p>
      <w:pPr>
        <w:pStyle w:val="BlockText"/>
      </w:pPr>
      <w:r>
        <w:rPr>
          <w:rFonts w:hint="eastAsia" w:ascii="Arial Unicode MS" w:hAnsi="Arial Unicode MS" w:eastAsia="Arial Unicode MS" w:cs="Arial Unicode MS"/>
        </w:rPr>
        <w:t xml:space="preserve">本表为第一优先。</w:t>
      </w:r>
      <w:r>
        <w:rPr>
          <w:rFonts w:hint="eastAsia" w:ascii="Arial Unicode MS" w:hAnsi="Arial Unicode MS" w:eastAsia="Arial Unicode MS" w:cs="Arial Unicode MS"/>
          <w:b/>
          <w:bCs/>
        </w:rPr>
        <w:t xml:space="preserve">首轮先收成品报告，不要求同事同时提交工作底稿。</w:t>
      </w:r>
      <w:r>
        <w:rPr>
          <w:rFonts w:hint="eastAsia" w:ascii="Arial Unicode MS" w:hAnsi="Arial Unicode MS" w:eastAsia="Arial Unicode MS" w:cs="Arial Unicode MS"/>
        </w:rPr>
        <w:t xml:space="preserve">DD-01至DD-05每类先提供一份质量最高的成品或基准模板即可；T2受限种子可以保留完整项目语境，后续再提炼为T1共享模板。</w:t>
      </w:r>
    </w:p>
    <w:bookmarkStart w:id="14" w:name="首轮成品报告"/>
    <w:p>
      <w:pPr>
        <w:pStyle w:val="Heading3"/>
        <w:jc w:val="left"/>
      </w:pPr>
      <w:r>
        <w:rPr>
          <w:rFonts w:ascii="Arial Unicode MS" w:hAnsi="Arial Unicode MS" w:eastAsia="Arial Unicode MS" w:cs="Arial Unicode MS"/>
        </w:rPr>
        <w:t xml:space="preserve">1. </w:t>
      </w:r>
      <w:r>
        <w:rPr>
          <w:rFonts w:hint="eastAsia" w:ascii="Arial Unicode MS" w:hAnsi="Arial Unicode MS" w:eastAsia="Arial Unicode MS" w:cs="Arial Unicode MS"/>
        </w:rPr>
        <w:t xml:space="preserve">首轮成品报告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color="AAB7C4"/>
          <w:left w:val="single" w:sz="4" w:color="AAB7C4"/>
          <w:bottom w:val="single" w:sz="4" w:color="AAB7C4"/>
          <w:right w:val="single" w:sz="4" w:color="AAB7C4"/>
          <w:insideH w:val="single" w:sz="4" w:color="AAB7C4"/>
          <w:insideV w:val="single" w:sz="4" w:color="AAB7C4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  <w:cantSplit/>
          <w:tblHeader w:val="true"/>
        </w:trPr>
        <w:tc>
          <w:tcPr>
            <w:tcW w:type="dxa" w:w="595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6"/>
              </w:rPr>
              <w:t xml:space="preserve">编号</w:t>
            </w:r>
          </w:p>
        </w:tc>
        <w:tc>
          <w:tcPr>
            <w:tcW w:type="dxa" w:w="1644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6"/>
              </w:rPr>
              <w:t xml:space="preserve">文件或材料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6"/>
              </w:rPr>
              <w:t xml:space="preserve">具体版本与最低内容要求</w:t>
            </w:r>
          </w:p>
        </w:tc>
        <w:tc>
          <w:tcPr>
            <w:tcW w:type="dxa" w:w="651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6"/>
              </w:rPr>
              <w:t xml:space="preserve">优先级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6"/>
              </w:rPr>
              <w:t xml:space="preserve">优先来源</w:t>
            </w:r>
          </w:p>
        </w:tc>
        <w:tc>
          <w:tcPr>
            <w:tcW w:type="dxa" w:w="1955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6"/>
              </w:rPr>
              <w:t xml:space="preserve">使用级别/访问要求</w:t>
            </w:r>
          </w:p>
        </w:tc>
        <w:tc>
          <w:tcPr>
            <w:tcW w:type="dxa" w:w="1388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6"/>
              </w:rPr>
              <w:t xml:space="preserve">建议提供组</w:t>
            </w:r>
          </w:p>
        </w:tc>
        <w:tc>
          <w:tcPr>
            <w:tcW w:type="dxa" w:w="822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6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DD-01</w:t>
            </w:r>
          </w:p>
        </w:tc>
        <w:tc>
          <w:tcPr>
            <w:tcW w:type="dxa" w:w="1644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境内股权投融资完整版DD报告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投资人方基准版；覆盖主体沿革、股权、治理、资产、IP、资质、合同、劳动、数据、税务、环保安全、诉讼处罚等</w:t>
            </w:r>
          </w:p>
        </w:tc>
        <w:tc>
          <w:tcPr>
            <w:tcW w:type="dxa" w:w="651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A</w:t>
            </w:r>
          </w:p>
        </w:tc>
        <w:tc>
          <w:tcPr>
            <w:tcW w:type="dxa" w:w="1587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所内最优项目</w:t>
            </w:r>
          </w:p>
        </w:tc>
        <w:tc>
          <w:tcPr>
            <w:tcW w:type="dxa" w:w="195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T2受限种子；转T1时去客户化</w:t>
            </w:r>
          </w:p>
        </w:tc>
        <w:tc>
          <w:tcPr>
            <w:tcW w:type="dxa" w:w="1388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非诉组负责人</w:t>
            </w:r>
          </w:p>
        </w:tc>
        <w:tc>
          <w:tcPr>
            <w:tcW w:type="dxa" w:w="822"/>
            <w:vAlign w:val="center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DD-02</w:t>
            </w:r>
          </w:p>
        </w:tc>
        <w:tc>
          <w:tcPr>
            <w:tcW w:type="dxa" w:w="1644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IPO法律尽调及问题整改材料包</w:t>
            </w:r>
          </w:p>
        </w:tc>
        <w:tc>
          <w:tcPr>
            <w:tcW w:type="dxa" w:w="5102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可提供IPO尽调报告、问题清单、整改方案、发行障碍分析或同类成熟内部成果；突出发行条件、整改及披露口径</w:t>
            </w:r>
          </w:p>
        </w:tc>
        <w:tc>
          <w:tcPr>
            <w:tcW w:type="dxa" w:w="651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A</w:t>
            </w:r>
          </w:p>
        </w:tc>
        <w:tc>
          <w:tcPr>
            <w:tcW w:type="dxa" w:w="1587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所内最优项目</w:t>
            </w:r>
          </w:p>
        </w:tc>
        <w:tc>
          <w:tcPr>
            <w:tcW w:type="dxa" w:w="195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T2受限种子；限资本市场授权人员</w:t>
            </w:r>
          </w:p>
        </w:tc>
        <w:tc>
          <w:tcPr>
            <w:tcW w:type="dxa" w:w="1388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资本市场组</w:t>
            </w:r>
          </w:p>
        </w:tc>
        <w:tc>
          <w:tcPr>
            <w:tcW w:type="dxa" w:w="822"/>
            <w:vAlign w:val="center"/>
            <w:shd w:fill="F5F8FB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DD-03</w:t>
            </w:r>
          </w:p>
        </w:tc>
        <w:tc>
          <w:tcPr>
            <w:tcW w:type="dxa" w:w="1644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跨境并购买方完整版DD报告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买方基准版；包含多法域公司、IP、劳动、数据、制裁出口管制、反腐败、税务、环境、诉讼及交易保护建议</w:t>
            </w:r>
          </w:p>
        </w:tc>
        <w:tc>
          <w:tcPr>
            <w:tcW w:type="dxa" w:w="651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A</w:t>
            </w:r>
          </w:p>
        </w:tc>
        <w:tc>
          <w:tcPr>
            <w:tcW w:type="dxa" w:w="1587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所内最优项目</w:t>
            </w:r>
          </w:p>
        </w:tc>
        <w:tc>
          <w:tcPr>
            <w:tcW w:type="dxa" w:w="195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T2受限种子；转T1时去客户化</w:t>
            </w:r>
          </w:p>
        </w:tc>
        <w:tc>
          <w:tcPr>
            <w:tcW w:type="dxa" w:w="1388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跨境并购组</w:t>
            </w:r>
          </w:p>
        </w:tc>
        <w:tc>
          <w:tcPr>
            <w:tcW w:type="dxa" w:w="822"/>
            <w:vAlign w:val="center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DD-04</w:t>
            </w:r>
          </w:p>
        </w:tc>
        <w:tc>
          <w:tcPr>
            <w:tcW w:type="dxa" w:w="1644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跨境并购卖方VDD报告</w:t>
            </w:r>
          </w:p>
        </w:tc>
        <w:tc>
          <w:tcPr>
            <w:tcW w:type="dxa" w:w="5102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作为并购基准模板的卖方变体；突出预先整改、披露口径、报告使用限制及多买方交易准备</w:t>
            </w:r>
          </w:p>
        </w:tc>
        <w:tc>
          <w:tcPr>
            <w:tcW w:type="dxa" w:w="651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B</w:t>
            </w:r>
          </w:p>
        </w:tc>
        <w:tc>
          <w:tcPr>
            <w:tcW w:type="dxa" w:w="1587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所内成熟项目</w:t>
            </w:r>
          </w:p>
        </w:tc>
        <w:tc>
          <w:tcPr>
            <w:tcW w:type="dxa" w:w="195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T2受限种子；转T1时去客户化</w:t>
            </w:r>
          </w:p>
        </w:tc>
        <w:tc>
          <w:tcPr>
            <w:tcW w:type="dxa" w:w="1388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跨境并购组</w:t>
            </w:r>
          </w:p>
        </w:tc>
        <w:tc>
          <w:tcPr>
            <w:tcW w:type="dxa" w:w="822"/>
            <w:vAlign w:val="center"/>
            <w:shd w:fill="F5F8FB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DD-05</w:t>
            </w:r>
          </w:p>
        </w:tc>
        <w:tc>
          <w:tcPr>
            <w:tcW w:type="dxa" w:w="1644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Red-flag/尽调摘要报告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可供股权投资及并购共同使用；突出重大问题、交易影响、先决条件、陈述保证、专项赔偿及投后整改建议</w:t>
            </w:r>
          </w:p>
        </w:tc>
        <w:tc>
          <w:tcPr>
            <w:tcW w:type="dxa" w:w="651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A</w:t>
            </w:r>
          </w:p>
        </w:tc>
        <w:tc>
          <w:tcPr>
            <w:tcW w:type="dxa" w:w="1587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所内最优项目</w:t>
            </w:r>
          </w:p>
        </w:tc>
        <w:tc>
          <w:tcPr>
            <w:tcW w:type="dxa" w:w="195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T2受限种子；转T1时去客户化</w:t>
            </w:r>
          </w:p>
        </w:tc>
        <w:tc>
          <w:tcPr>
            <w:tcW w:type="dxa" w:w="1388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非诉组负责人</w:t>
            </w:r>
          </w:p>
        </w:tc>
        <w:tc>
          <w:tcPr>
            <w:tcW w:type="dxa" w:w="822"/>
            <w:vAlign w:val="center"/>
          </w:tcPr>
          <w:p>
            <w:r/>
          </w:p>
        </w:tc>
      </w:tr>
    </w:tbl>
    <w:bookmarkEnd w:id="14"/>
    <w:bookmarkStart w:id="15" w:name="本批补充材料"/>
    <w:p>
      <w:pPr>
        <w:pStyle w:val="Heading3"/>
        <w:jc w:val="left"/>
      </w:pPr>
      <w:r>
        <w:rPr>
          <w:rFonts w:ascii="Arial Unicode MS" w:hAnsi="Arial Unicode MS" w:eastAsia="Arial Unicode MS" w:cs="Arial Unicode MS"/>
        </w:rPr>
        <w:t xml:space="preserve">2. </w:t>
      </w:r>
      <w:r>
        <w:rPr>
          <w:rFonts w:hint="eastAsia" w:ascii="Arial Unicode MS" w:hAnsi="Arial Unicode MS" w:eastAsia="Arial Unicode MS" w:cs="Arial Unicode MS"/>
        </w:rPr>
        <w:t xml:space="preserve">本批补充材料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color="AAB7C4"/>
          <w:left w:val="single" w:sz="4" w:color="AAB7C4"/>
          <w:bottom w:val="single" w:sz="4" w:color="AAB7C4"/>
          <w:right w:val="single" w:sz="4" w:color="AAB7C4"/>
          <w:insideH w:val="single" w:sz="4" w:color="AAB7C4"/>
          <w:insideV w:val="single" w:sz="4" w:color="AAB7C4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  <w:cantSplit/>
          <w:tblHeader w:val="true"/>
        </w:trPr>
        <w:tc>
          <w:tcPr>
            <w:tcW w:type="dxa" w:w="595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6"/>
              </w:rPr>
              <w:t xml:space="preserve">编号</w:t>
            </w:r>
          </w:p>
        </w:tc>
        <w:tc>
          <w:tcPr>
            <w:tcW w:type="dxa" w:w="1644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6"/>
              </w:rPr>
              <w:t xml:space="preserve">文件或材料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6"/>
              </w:rPr>
              <w:t xml:space="preserve">具体版本与最低内容要求</w:t>
            </w:r>
          </w:p>
        </w:tc>
        <w:tc>
          <w:tcPr>
            <w:tcW w:type="dxa" w:w="651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6"/>
              </w:rPr>
              <w:t xml:space="preserve">优先级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6"/>
              </w:rPr>
              <w:t xml:space="preserve">优先来源</w:t>
            </w:r>
          </w:p>
        </w:tc>
        <w:tc>
          <w:tcPr>
            <w:tcW w:type="dxa" w:w="1955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6"/>
              </w:rPr>
              <w:t xml:space="preserve">使用级别/访问要求</w:t>
            </w:r>
          </w:p>
        </w:tc>
        <w:tc>
          <w:tcPr>
            <w:tcW w:type="dxa" w:w="1388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6"/>
              </w:rPr>
              <w:t xml:space="preserve">建议提供组</w:t>
            </w:r>
          </w:p>
        </w:tc>
        <w:tc>
          <w:tcPr>
            <w:tcW w:type="dxa" w:w="822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6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DD-06</w:t>
            </w:r>
          </w:p>
        </w:tc>
        <w:tc>
          <w:tcPr>
            <w:tcW w:type="dxa" w:w="1644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补充/更新版尽调报告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适用于新增资料、重大变化、交割前更新；说明更新范围及与原报告的关系</w:t>
            </w:r>
          </w:p>
        </w:tc>
        <w:tc>
          <w:tcPr>
            <w:tcW w:type="dxa" w:w="651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B</w:t>
            </w:r>
          </w:p>
        </w:tc>
        <w:tc>
          <w:tcPr>
            <w:tcW w:type="dxa" w:w="1587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所内项目文件</w:t>
            </w:r>
          </w:p>
        </w:tc>
        <w:tc>
          <w:tcPr>
            <w:tcW w:type="dxa" w:w="195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T2受限种子；在办项目按T3</w:t>
            </w:r>
          </w:p>
        </w:tc>
        <w:tc>
          <w:tcPr>
            <w:tcW w:type="dxa" w:w="1388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非诉组</w:t>
            </w:r>
          </w:p>
        </w:tc>
        <w:tc>
          <w:tcPr>
            <w:tcW w:type="dxa" w:w="822"/>
            <w:vAlign w:val="center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DD-07</w:t>
            </w:r>
          </w:p>
        </w:tc>
        <w:tc>
          <w:tcPr>
            <w:tcW w:type="dxa" w:w="1644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DD报告审阅Checklist</w:t>
            </w:r>
          </w:p>
        </w:tc>
        <w:tc>
          <w:tcPr>
            <w:tcW w:type="dxa" w:w="5102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检查范围完整性、事实一致性、法规有效性、风险分级、建议可执行性、引用和格式</w:t>
            </w:r>
          </w:p>
        </w:tc>
        <w:tc>
          <w:tcPr>
            <w:tcW w:type="dxa" w:w="651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B</w:t>
            </w:r>
          </w:p>
        </w:tc>
        <w:tc>
          <w:tcPr>
            <w:tcW w:type="dxa" w:w="1587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所内方法论</w:t>
            </w:r>
          </w:p>
        </w:tc>
        <w:tc>
          <w:tcPr>
            <w:tcW w:type="dxa" w:w="195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T1共享模板</w:t>
            </w:r>
          </w:p>
        </w:tc>
        <w:tc>
          <w:tcPr>
            <w:tcW w:type="dxa" w:w="1388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非诉组负责人</w:t>
            </w:r>
          </w:p>
        </w:tc>
        <w:tc>
          <w:tcPr>
            <w:tcW w:type="dxa" w:w="822"/>
            <w:vAlign w:val="center"/>
            <w:shd w:fill="F5F8FB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DD-08</w:t>
            </w:r>
          </w:p>
        </w:tc>
        <w:tc>
          <w:tcPr>
            <w:tcW w:type="dxa" w:w="1644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DD报告写作规范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覆盖章节、事实表述、保留与限制、风险措辞、引用、交易建议及审阅要求</w:t>
            </w:r>
          </w:p>
        </w:tc>
        <w:tc>
          <w:tcPr>
            <w:tcW w:type="dxa" w:w="651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B</w:t>
            </w:r>
          </w:p>
        </w:tc>
        <w:tc>
          <w:tcPr>
            <w:tcW w:type="dxa" w:w="1587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所内方法论</w:t>
            </w:r>
          </w:p>
        </w:tc>
        <w:tc>
          <w:tcPr>
            <w:tcW w:type="dxa" w:w="195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T1共享模板</w:t>
            </w:r>
          </w:p>
        </w:tc>
        <w:tc>
          <w:tcPr>
            <w:tcW w:type="dxa" w:w="1388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非诉组负责人</w:t>
            </w:r>
          </w:p>
        </w:tc>
        <w:tc>
          <w:tcPr>
            <w:tcW w:type="dxa" w:w="822"/>
            <w:vAlign w:val="center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DD-09</w:t>
            </w:r>
          </w:p>
        </w:tc>
        <w:tc>
          <w:tcPr>
            <w:tcW w:type="dxa" w:w="1644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初始及补充资料清单</w:t>
            </w:r>
          </w:p>
        </w:tc>
        <w:tc>
          <w:tcPr>
            <w:tcW w:type="dxa" w:w="5102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境内股权投融资基准版；首轮不要求，如所内已有成熟版本可一并提供</w:t>
            </w:r>
          </w:p>
        </w:tc>
        <w:tc>
          <w:tcPr>
            <w:tcW w:type="dxa" w:w="651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C</w:t>
            </w:r>
          </w:p>
        </w:tc>
        <w:tc>
          <w:tcPr>
            <w:tcW w:type="dxa" w:w="1587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所内成熟模板</w:t>
            </w:r>
          </w:p>
        </w:tc>
        <w:tc>
          <w:tcPr>
            <w:tcW w:type="dxa" w:w="195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T1优先；项目实例按T2</w:t>
            </w:r>
          </w:p>
        </w:tc>
        <w:tc>
          <w:tcPr>
            <w:tcW w:type="dxa" w:w="1388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非诉组</w:t>
            </w:r>
          </w:p>
        </w:tc>
        <w:tc>
          <w:tcPr>
            <w:tcW w:type="dxa" w:w="822"/>
            <w:vAlign w:val="center"/>
            <w:shd w:fill="F5F8FB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DD-10</w:t>
            </w:r>
          </w:p>
        </w:tc>
        <w:tc>
          <w:tcPr>
            <w:tcW w:type="dxa" w:w="1644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资料跟踪表及VDR目录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资料接收、缺失情况、文件索引和报告引用位置；首轮不要求</w:t>
            </w:r>
          </w:p>
        </w:tc>
        <w:tc>
          <w:tcPr>
            <w:tcW w:type="dxa" w:w="651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C</w:t>
            </w:r>
          </w:p>
        </w:tc>
        <w:tc>
          <w:tcPr>
            <w:tcW w:type="dxa" w:w="1587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所内项目底稿</w:t>
            </w:r>
          </w:p>
        </w:tc>
        <w:tc>
          <w:tcPr>
            <w:tcW w:type="dxa" w:w="195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T2受限种子；在办项目按T3</w:t>
            </w:r>
          </w:p>
        </w:tc>
        <w:tc>
          <w:tcPr>
            <w:tcW w:type="dxa" w:w="1388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非诉组/项目管理</w:t>
            </w:r>
          </w:p>
        </w:tc>
        <w:tc>
          <w:tcPr>
            <w:tcW w:type="dxa" w:w="822"/>
            <w:vAlign w:val="center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DD-11</w:t>
            </w:r>
          </w:p>
        </w:tc>
        <w:tc>
          <w:tcPr>
            <w:tcW w:type="dxa" w:w="1644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Q&amp;A、访谈提纲及访谈纪要</w:t>
            </w:r>
          </w:p>
        </w:tc>
        <w:tc>
          <w:tcPr>
            <w:tcW w:type="dxa" w:w="5102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用于澄清书面材料无法确认的事实；首轮不要求</w:t>
            </w:r>
          </w:p>
        </w:tc>
        <w:tc>
          <w:tcPr>
            <w:tcW w:type="dxa" w:w="651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C</w:t>
            </w:r>
          </w:p>
        </w:tc>
        <w:tc>
          <w:tcPr>
            <w:tcW w:type="dxa" w:w="1587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所内项目底稿</w:t>
            </w:r>
          </w:p>
        </w:tc>
        <w:tc>
          <w:tcPr>
            <w:tcW w:type="dxa" w:w="195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T2受限种子；在办项目按T3</w:t>
            </w:r>
          </w:p>
        </w:tc>
        <w:tc>
          <w:tcPr>
            <w:tcW w:type="dxa" w:w="1388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非诉组</w:t>
            </w:r>
          </w:p>
        </w:tc>
        <w:tc>
          <w:tcPr>
            <w:tcW w:type="dxa" w:w="822"/>
            <w:vAlign w:val="center"/>
            <w:shd w:fill="F5F8FB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DD-12</w:t>
            </w:r>
          </w:p>
        </w:tc>
        <w:tc>
          <w:tcPr>
            <w:tcW w:type="dxa" w:w="1644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分模块工作底稿及公开检索记录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用于后续完善从资料到报告的工作流程；首轮不要求</w:t>
            </w:r>
          </w:p>
        </w:tc>
        <w:tc>
          <w:tcPr>
            <w:tcW w:type="dxa" w:w="651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C</w:t>
            </w:r>
          </w:p>
        </w:tc>
        <w:tc>
          <w:tcPr>
            <w:tcW w:type="dxa" w:w="1587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所内项目底稿</w:t>
            </w:r>
          </w:p>
        </w:tc>
        <w:tc>
          <w:tcPr>
            <w:tcW w:type="dxa" w:w="195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T2受限种子；在办项目按T3</w:t>
            </w:r>
          </w:p>
        </w:tc>
        <w:tc>
          <w:tcPr>
            <w:tcW w:type="dxa" w:w="1388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非诉组/研究支持</w:t>
            </w:r>
          </w:p>
        </w:tc>
        <w:tc>
          <w:tcPr>
            <w:tcW w:type="dxa" w:w="822"/>
            <w:vAlign w:val="center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DD-13</w:t>
            </w:r>
          </w:p>
        </w:tc>
        <w:tc>
          <w:tcPr>
            <w:tcW w:type="dxa" w:w="1644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Issue </w:t>
            </w: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List及风险分级标准</w:t>
            </w:r>
          </w:p>
        </w:tc>
        <w:tc>
          <w:tcPr>
            <w:tcW w:type="dxa" w:w="5102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问题事实、证据、法律依据、风险、交易影响、建议和状态；有成熟版本可优先提供</w:t>
            </w:r>
          </w:p>
        </w:tc>
        <w:tc>
          <w:tcPr>
            <w:tcW w:type="dxa" w:w="651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B</w:t>
            </w:r>
          </w:p>
        </w:tc>
        <w:tc>
          <w:tcPr>
            <w:tcW w:type="dxa" w:w="1587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所内项目底稿/方法论</w:t>
            </w:r>
          </w:p>
        </w:tc>
        <w:tc>
          <w:tcPr>
            <w:tcW w:type="dxa" w:w="195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方法论按T1；项目实例按T2</w:t>
            </w:r>
          </w:p>
        </w:tc>
        <w:tc>
          <w:tcPr>
            <w:tcW w:type="dxa" w:w="1388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非诉组负责人</w:t>
            </w:r>
          </w:p>
        </w:tc>
        <w:tc>
          <w:tcPr>
            <w:tcW w:type="dxa" w:w="822"/>
            <w:vAlign w:val="center"/>
            <w:shd w:fill="F5F8FB"/>
          </w:tcPr>
          <w:p>
            <w:r/>
          </w:p>
        </w:tc>
      </w:tr>
    </w:tbl>
    <w:p>
      <w:r>
        <w:rPr>
          <w:rFonts w:ascii="Arial Unicode MS" w:hAnsi="Arial Unicode MS" w:eastAsia="Arial Unicode MS" w:cs="Arial Unicode MS"/>
        </w:rPr>
        <w:pict>
          <v:rect style="width:0;height:1.5pt" o:hralign="center" o:hrstd="t" o:hr="t"/>
        </w:pict>
      </w:r>
    </w:p>
    <w:bookmarkEnd w:id="15"/>
    <w:bookmarkEnd w:id="16"/>
    <w:bookmarkStart w:id="19" w:name="三非诉投融资交易模板收集表"/>
    <w:p>
      <w:pPr>
        <w:pStyle w:val="Heading2"/>
        <w:jc w:val="left"/>
      </w:pPr>
      <w:r>
        <w:rPr>
          <w:rFonts w:hint="eastAsia" w:ascii="Arial Unicode MS" w:hAnsi="Arial Unicode MS" w:eastAsia="Arial Unicode MS" w:cs="Arial Unicode MS"/>
        </w:rPr>
        <w:t xml:space="preserve">三、非诉投融资交易模板收集表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color="AAB7C4"/>
          <w:left w:val="single" w:sz="4" w:color="AAB7C4"/>
          <w:bottom w:val="single" w:sz="4" w:color="AAB7C4"/>
          <w:right w:val="single" w:sz="4" w:color="AAB7C4"/>
          <w:insideH w:val="single" w:sz="4" w:color="AAB7C4"/>
          <w:insideV w:val="single" w:sz="4" w:color="AAB7C4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  <w:cantSplit/>
          <w:tblHeader w:val="true"/>
        </w:trPr>
        <w:tc>
          <w:tcPr>
            <w:tcW w:type="dxa" w:w="595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6"/>
              </w:rPr>
              <w:t xml:space="preserve">编号</w:t>
            </w:r>
          </w:p>
        </w:tc>
        <w:tc>
          <w:tcPr>
            <w:tcW w:type="dxa" w:w="1644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6"/>
              </w:rPr>
              <w:t xml:space="preserve">文件或材料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6"/>
              </w:rPr>
              <w:t xml:space="preserve">具体版本与最低内容要求</w:t>
            </w:r>
          </w:p>
        </w:tc>
        <w:tc>
          <w:tcPr>
            <w:tcW w:type="dxa" w:w="651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6"/>
              </w:rPr>
              <w:t xml:space="preserve">优先级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6"/>
              </w:rPr>
              <w:t xml:space="preserve">优先来源</w:t>
            </w:r>
          </w:p>
        </w:tc>
        <w:tc>
          <w:tcPr>
            <w:tcW w:type="dxa" w:w="1955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6"/>
              </w:rPr>
              <w:t xml:space="preserve">使用级别/访问要求</w:t>
            </w:r>
          </w:p>
        </w:tc>
        <w:tc>
          <w:tcPr>
            <w:tcW w:type="dxa" w:w="1388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6"/>
              </w:rPr>
              <w:t xml:space="preserve">建议提供组</w:t>
            </w:r>
          </w:p>
        </w:tc>
        <w:tc>
          <w:tcPr>
            <w:tcW w:type="dxa" w:w="822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6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NS-01</w:t>
            </w:r>
          </w:p>
        </w:tc>
        <w:tc>
          <w:tcPr>
            <w:tcW w:type="dxa" w:w="1644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保密协议（NDA）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交易版；单向/双向版本；覆盖使用目的、允许披露、资料返还删除、非招揽、期限及救济</w:t>
            </w:r>
          </w:p>
        </w:tc>
        <w:tc>
          <w:tcPr>
            <w:tcW w:type="dxa" w:w="651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A</w:t>
            </w:r>
          </w:p>
        </w:tc>
        <w:tc>
          <w:tcPr>
            <w:tcW w:type="dxa" w:w="1587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所内成熟模板</w:t>
            </w:r>
          </w:p>
        </w:tc>
        <w:tc>
          <w:tcPr>
            <w:tcW w:type="dxa" w:w="195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T1共享模板；项目实例按T2</w:t>
            </w:r>
          </w:p>
        </w:tc>
        <w:tc>
          <w:tcPr>
            <w:tcW w:type="dxa" w:w="1388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非诉组</w:t>
            </w:r>
          </w:p>
        </w:tc>
        <w:tc>
          <w:tcPr>
            <w:tcW w:type="dxa" w:w="822"/>
            <w:vAlign w:val="center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NS-02</w:t>
            </w:r>
          </w:p>
        </w:tc>
        <w:tc>
          <w:tcPr>
            <w:tcW w:type="dxa" w:w="1644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投资条款清单（Term</w:t>
            </w:r>
            <w:r>
              <w:rPr>
                <w:rFonts w:ascii="Arial Unicode MS" w:hAnsi="Arial Unicode MS" w:eastAsia="Arial Unicode MS" w:cs="Arial Unicode MS"/>
                <w:sz w:val="16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Sheet）</w:t>
            </w:r>
          </w:p>
        </w:tc>
        <w:tc>
          <w:tcPr>
            <w:tcW w:type="dxa" w:w="5102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境内股权投资版；如有投资人方、公司方或均衡版，可分别提供并说明差异</w:t>
            </w:r>
          </w:p>
        </w:tc>
        <w:tc>
          <w:tcPr>
            <w:tcW w:type="dxa" w:w="651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A</w:t>
            </w:r>
          </w:p>
        </w:tc>
        <w:tc>
          <w:tcPr>
            <w:tcW w:type="dxa" w:w="1587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所内成熟模板</w:t>
            </w:r>
          </w:p>
        </w:tc>
        <w:tc>
          <w:tcPr>
            <w:tcW w:type="dxa" w:w="195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T1优先；项目实例按T2</w:t>
            </w:r>
          </w:p>
        </w:tc>
        <w:tc>
          <w:tcPr>
            <w:tcW w:type="dxa" w:w="1388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非诉组</w:t>
            </w:r>
          </w:p>
        </w:tc>
        <w:tc>
          <w:tcPr>
            <w:tcW w:type="dxa" w:w="822"/>
            <w:vAlign w:val="center"/>
            <w:shd w:fill="F5F8FB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NS-03</w:t>
            </w:r>
          </w:p>
        </w:tc>
        <w:tc>
          <w:tcPr>
            <w:tcW w:type="dxa" w:w="1644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增资协议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境内股权投资版；包含交割条件、陈述保证、承诺、违约、回购/估值调整及争议解决</w:t>
            </w:r>
          </w:p>
        </w:tc>
        <w:tc>
          <w:tcPr>
            <w:tcW w:type="dxa" w:w="651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A</w:t>
            </w:r>
          </w:p>
        </w:tc>
        <w:tc>
          <w:tcPr>
            <w:tcW w:type="dxa" w:w="1587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所内成熟模板</w:t>
            </w:r>
          </w:p>
        </w:tc>
        <w:tc>
          <w:tcPr>
            <w:tcW w:type="dxa" w:w="195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T1优先；项目实例按T2</w:t>
            </w:r>
          </w:p>
        </w:tc>
        <w:tc>
          <w:tcPr>
            <w:tcW w:type="dxa" w:w="1388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非诉组</w:t>
            </w:r>
          </w:p>
        </w:tc>
        <w:tc>
          <w:tcPr>
            <w:tcW w:type="dxa" w:w="822"/>
            <w:vAlign w:val="center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NS-04</w:t>
            </w:r>
          </w:p>
        </w:tc>
        <w:tc>
          <w:tcPr>
            <w:tcW w:type="dxa" w:w="1644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股权购买/股权转让协议</w:t>
            </w:r>
          </w:p>
        </w:tc>
        <w:tc>
          <w:tcPr>
            <w:tcW w:type="dxa" w:w="5102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简式股权转让版</w:t>
            </w:r>
            <w:r>
              <w:rPr>
                <w:rFonts w:ascii="Arial Unicode MS" w:hAnsi="Arial Unicode MS" w:eastAsia="Arial Unicode MS" w:cs="Arial Unicode MS"/>
                <w:sz w:val="16"/>
              </w:rPr>
              <w:t xml:space="preserve"> + </w:t>
            </w: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并购SPA版可分别提供；注明买方/卖方立场</w:t>
            </w:r>
          </w:p>
        </w:tc>
        <w:tc>
          <w:tcPr>
            <w:tcW w:type="dxa" w:w="651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A</w:t>
            </w:r>
          </w:p>
        </w:tc>
        <w:tc>
          <w:tcPr>
            <w:tcW w:type="dxa" w:w="1587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所内成熟模板</w:t>
            </w:r>
          </w:p>
        </w:tc>
        <w:tc>
          <w:tcPr>
            <w:tcW w:type="dxa" w:w="195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T1优先；项目实例按T2</w:t>
            </w:r>
          </w:p>
        </w:tc>
        <w:tc>
          <w:tcPr>
            <w:tcW w:type="dxa" w:w="1388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非诉组</w:t>
            </w:r>
          </w:p>
        </w:tc>
        <w:tc>
          <w:tcPr>
            <w:tcW w:type="dxa" w:w="822"/>
            <w:vAlign w:val="center"/>
            <w:shd w:fill="F5F8FB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NS-05</w:t>
            </w:r>
          </w:p>
        </w:tc>
        <w:tc>
          <w:tcPr>
            <w:tcW w:type="dxa" w:w="1644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股东协议（SHA）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覆盖治理、保护性事项、信息权、优先权、转让限制、退出、回购及争议解决</w:t>
            </w:r>
          </w:p>
        </w:tc>
        <w:tc>
          <w:tcPr>
            <w:tcW w:type="dxa" w:w="651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A</w:t>
            </w:r>
          </w:p>
        </w:tc>
        <w:tc>
          <w:tcPr>
            <w:tcW w:type="dxa" w:w="1587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所内成熟模板</w:t>
            </w:r>
          </w:p>
        </w:tc>
        <w:tc>
          <w:tcPr>
            <w:tcW w:type="dxa" w:w="195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T1优先；项目实例按T2</w:t>
            </w:r>
          </w:p>
        </w:tc>
        <w:tc>
          <w:tcPr>
            <w:tcW w:type="dxa" w:w="1388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非诉组</w:t>
            </w:r>
          </w:p>
        </w:tc>
        <w:tc>
          <w:tcPr>
            <w:tcW w:type="dxa" w:w="822"/>
            <w:vAlign w:val="center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NS-06</w:t>
            </w:r>
          </w:p>
        </w:tc>
        <w:tc>
          <w:tcPr>
            <w:tcW w:type="dxa" w:w="1644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披露函及披露清单（Disclosure</w:t>
            </w:r>
            <w:r>
              <w:rPr>
                <w:rFonts w:ascii="Arial Unicode MS" w:hAnsi="Arial Unicode MS" w:eastAsia="Arial Unicode MS" w:cs="Arial Unicode MS"/>
                <w:sz w:val="16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Letter/Schedules）</w:t>
            </w:r>
          </w:p>
        </w:tc>
        <w:tc>
          <w:tcPr>
            <w:tcW w:type="dxa" w:w="5102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对陈述保证进行一般披露和专项披露；可与SPA条款编号对应</w:t>
            </w:r>
          </w:p>
        </w:tc>
        <w:tc>
          <w:tcPr>
            <w:tcW w:type="dxa" w:w="651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A</w:t>
            </w:r>
          </w:p>
        </w:tc>
        <w:tc>
          <w:tcPr>
            <w:tcW w:type="dxa" w:w="1587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所内成熟模板</w:t>
            </w:r>
          </w:p>
        </w:tc>
        <w:tc>
          <w:tcPr>
            <w:tcW w:type="dxa" w:w="195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T2受限种子；转T1时去客户化</w:t>
            </w:r>
          </w:p>
        </w:tc>
        <w:tc>
          <w:tcPr>
            <w:tcW w:type="dxa" w:w="1388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非诉组</w:t>
            </w:r>
          </w:p>
        </w:tc>
        <w:tc>
          <w:tcPr>
            <w:tcW w:type="dxa" w:w="822"/>
            <w:vAlign w:val="center"/>
            <w:shd w:fill="F5F8FB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NS-07</w:t>
            </w:r>
          </w:p>
        </w:tc>
        <w:tc>
          <w:tcPr>
            <w:tcW w:type="dxa" w:w="1644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可转债/可转换借款投资协议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适用于股权投资前的可转债、可转换借款或类似工具；明确转换、到期、违约和担保安排</w:t>
            </w:r>
          </w:p>
        </w:tc>
        <w:tc>
          <w:tcPr>
            <w:tcW w:type="dxa" w:w="651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B</w:t>
            </w:r>
          </w:p>
        </w:tc>
        <w:tc>
          <w:tcPr>
            <w:tcW w:type="dxa" w:w="1587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所内成熟模板</w:t>
            </w:r>
          </w:p>
        </w:tc>
        <w:tc>
          <w:tcPr>
            <w:tcW w:type="dxa" w:w="195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T1优先；项目实例按T2</w:t>
            </w:r>
          </w:p>
        </w:tc>
        <w:tc>
          <w:tcPr>
            <w:tcW w:type="dxa" w:w="1388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非诉组</w:t>
            </w:r>
          </w:p>
        </w:tc>
        <w:tc>
          <w:tcPr>
            <w:tcW w:type="dxa" w:w="822"/>
            <w:vAlign w:val="center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NS-08</w:t>
            </w:r>
          </w:p>
        </w:tc>
        <w:tc>
          <w:tcPr>
            <w:tcW w:type="dxa" w:w="1644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投资法律意见书</w:t>
            </w:r>
          </w:p>
        </w:tc>
        <w:tc>
          <w:tcPr>
            <w:tcW w:type="dxa" w:w="5102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投资人方为基准；如有公司方版本一并提供；包含核查依据、假设限制和结论</w:t>
            </w:r>
          </w:p>
        </w:tc>
        <w:tc>
          <w:tcPr>
            <w:tcW w:type="dxa" w:w="651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B</w:t>
            </w:r>
          </w:p>
        </w:tc>
        <w:tc>
          <w:tcPr>
            <w:tcW w:type="dxa" w:w="1587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所内成熟模板</w:t>
            </w:r>
          </w:p>
        </w:tc>
        <w:tc>
          <w:tcPr>
            <w:tcW w:type="dxa" w:w="195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T1优先；项目实例按T2</w:t>
            </w:r>
          </w:p>
        </w:tc>
        <w:tc>
          <w:tcPr>
            <w:tcW w:type="dxa" w:w="1388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非诉组</w:t>
            </w:r>
          </w:p>
        </w:tc>
        <w:tc>
          <w:tcPr>
            <w:tcW w:type="dxa" w:w="822"/>
            <w:vAlign w:val="center"/>
            <w:shd w:fill="F5F8FB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NS-09</w:t>
            </w:r>
          </w:p>
        </w:tc>
        <w:tc>
          <w:tcPr>
            <w:tcW w:type="dxa" w:w="1644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交割文件清单（Closing</w:t>
            </w:r>
            <w:r>
              <w:rPr>
                <w:rFonts w:ascii="Arial Unicode MS" w:hAnsi="Arial Unicode MS" w:eastAsia="Arial Unicode MS" w:cs="Arial Unicode MS"/>
                <w:sz w:val="16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Checklist）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分先决条件、签署文件、付款、登记和交割后事项；含责任人、期限和状态</w:t>
            </w:r>
          </w:p>
        </w:tc>
        <w:tc>
          <w:tcPr>
            <w:tcW w:type="dxa" w:w="651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A</w:t>
            </w:r>
          </w:p>
        </w:tc>
        <w:tc>
          <w:tcPr>
            <w:tcW w:type="dxa" w:w="1587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所内成熟模板</w:t>
            </w:r>
          </w:p>
        </w:tc>
        <w:tc>
          <w:tcPr>
            <w:tcW w:type="dxa" w:w="195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T1优先；项目实例按T2</w:t>
            </w:r>
          </w:p>
        </w:tc>
        <w:tc>
          <w:tcPr>
            <w:tcW w:type="dxa" w:w="1388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非诉组</w:t>
            </w:r>
          </w:p>
        </w:tc>
        <w:tc>
          <w:tcPr>
            <w:tcW w:type="dxa" w:w="822"/>
            <w:vAlign w:val="center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NS-10</w:t>
            </w:r>
          </w:p>
        </w:tc>
        <w:tc>
          <w:tcPr>
            <w:tcW w:type="dxa" w:w="1644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先决条件满足/豁免确认书</w:t>
            </w:r>
          </w:p>
        </w:tc>
        <w:tc>
          <w:tcPr>
            <w:tcW w:type="dxa" w:w="5102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列明每项CP、证明文件、满足或豁免状态、批准人和日期</w:t>
            </w:r>
          </w:p>
        </w:tc>
        <w:tc>
          <w:tcPr>
            <w:tcW w:type="dxa" w:w="651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A</w:t>
            </w:r>
          </w:p>
        </w:tc>
        <w:tc>
          <w:tcPr>
            <w:tcW w:type="dxa" w:w="1587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所内成熟模板</w:t>
            </w:r>
          </w:p>
        </w:tc>
        <w:tc>
          <w:tcPr>
            <w:tcW w:type="dxa" w:w="195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T1优先；项目实例按T2</w:t>
            </w:r>
          </w:p>
        </w:tc>
        <w:tc>
          <w:tcPr>
            <w:tcW w:type="dxa" w:w="1388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非诉组</w:t>
            </w:r>
          </w:p>
        </w:tc>
        <w:tc>
          <w:tcPr>
            <w:tcW w:type="dxa" w:w="822"/>
            <w:vAlign w:val="center"/>
            <w:shd w:fill="F5F8FB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NS-11</w:t>
            </w:r>
          </w:p>
        </w:tc>
        <w:tc>
          <w:tcPr>
            <w:tcW w:type="dxa" w:w="1644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交割确认书/交割证明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确认文件签署、付款、股权或增资交割完成及未完成事项</w:t>
            </w:r>
          </w:p>
        </w:tc>
        <w:tc>
          <w:tcPr>
            <w:tcW w:type="dxa" w:w="651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A</w:t>
            </w:r>
          </w:p>
        </w:tc>
        <w:tc>
          <w:tcPr>
            <w:tcW w:type="dxa" w:w="1587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所内成熟模板</w:t>
            </w:r>
          </w:p>
        </w:tc>
        <w:tc>
          <w:tcPr>
            <w:tcW w:type="dxa" w:w="195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T1优先；项目实例按T2</w:t>
            </w:r>
          </w:p>
        </w:tc>
        <w:tc>
          <w:tcPr>
            <w:tcW w:type="dxa" w:w="1388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非诉组</w:t>
            </w:r>
          </w:p>
        </w:tc>
        <w:tc>
          <w:tcPr>
            <w:tcW w:type="dxa" w:w="822"/>
            <w:vAlign w:val="center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NS-12</w:t>
            </w:r>
          </w:p>
        </w:tc>
        <w:tc>
          <w:tcPr>
            <w:tcW w:type="dxa" w:w="1644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交割后义务跟踪表</w:t>
            </w:r>
          </w:p>
        </w:tc>
        <w:tc>
          <w:tcPr>
            <w:tcW w:type="dxa" w:w="5102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工商变更、证照更新、董事委派、整改事项、信息权和其他投后承诺</w:t>
            </w:r>
          </w:p>
        </w:tc>
        <w:tc>
          <w:tcPr>
            <w:tcW w:type="dxa" w:w="651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A</w:t>
            </w:r>
          </w:p>
        </w:tc>
        <w:tc>
          <w:tcPr>
            <w:tcW w:type="dxa" w:w="1587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所内项目底稿</w:t>
            </w:r>
          </w:p>
        </w:tc>
        <w:tc>
          <w:tcPr>
            <w:tcW w:type="dxa" w:w="195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T1优先；项目实例按T2</w:t>
            </w:r>
          </w:p>
        </w:tc>
        <w:tc>
          <w:tcPr>
            <w:tcW w:type="dxa" w:w="1388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非诉组/项目管理</w:t>
            </w:r>
          </w:p>
        </w:tc>
        <w:tc>
          <w:tcPr>
            <w:tcW w:type="dxa" w:w="822"/>
            <w:vAlign w:val="center"/>
            <w:shd w:fill="F5F8FB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NS-13</w:t>
            </w:r>
          </w:p>
        </w:tc>
        <w:tc>
          <w:tcPr>
            <w:tcW w:type="dxa" w:w="1644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公司章程及章程修正案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适配2023年修订、2024年7月1日起施行的《公司法》；含投资人特殊权利衔接</w:t>
            </w:r>
          </w:p>
        </w:tc>
        <w:tc>
          <w:tcPr>
            <w:tcW w:type="dxa" w:w="651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A</w:t>
            </w:r>
          </w:p>
        </w:tc>
        <w:tc>
          <w:tcPr>
            <w:tcW w:type="dxa" w:w="1587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所内成熟模板</w:t>
            </w:r>
            <w:r>
              <w:rPr>
                <w:rFonts w:ascii="Arial Unicode MS" w:hAnsi="Arial Unicode MS" w:eastAsia="Arial Unicode MS" w:cs="Arial Unicode MS"/>
                <w:sz w:val="16"/>
              </w:rPr>
              <w:t xml:space="preserve"> + </w:t>
            </w: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登记规范</w:t>
            </w:r>
          </w:p>
        </w:tc>
        <w:tc>
          <w:tcPr>
            <w:tcW w:type="dxa" w:w="195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T1优先；项目实例按T2</w:t>
            </w:r>
          </w:p>
        </w:tc>
        <w:tc>
          <w:tcPr>
            <w:tcW w:type="dxa" w:w="1388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公司业务组</w:t>
            </w:r>
          </w:p>
        </w:tc>
        <w:tc>
          <w:tcPr>
            <w:tcW w:type="dxa" w:w="822"/>
            <w:vAlign w:val="center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NS-14</w:t>
            </w:r>
          </w:p>
        </w:tc>
        <w:tc>
          <w:tcPr>
            <w:tcW w:type="dxa" w:w="1644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股东会/董事会决议文件包</w:t>
            </w:r>
          </w:p>
        </w:tc>
        <w:tc>
          <w:tcPr>
            <w:tcW w:type="dxa" w:w="5102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增资、股权转让、章程修改、董事委任、对外担保等常用事项</w:t>
            </w:r>
          </w:p>
        </w:tc>
        <w:tc>
          <w:tcPr>
            <w:tcW w:type="dxa" w:w="651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A</w:t>
            </w:r>
          </w:p>
        </w:tc>
        <w:tc>
          <w:tcPr>
            <w:tcW w:type="dxa" w:w="1587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所内成熟模板</w:t>
            </w:r>
            <w:r>
              <w:rPr>
                <w:rFonts w:ascii="Arial Unicode MS" w:hAnsi="Arial Unicode MS" w:eastAsia="Arial Unicode MS" w:cs="Arial Unicode MS"/>
                <w:sz w:val="16"/>
              </w:rPr>
              <w:t xml:space="preserve"> + </w:t>
            </w: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官方规范</w:t>
            </w:r>
          </w:p>
        </w:tc>
        <w:tc>
          <w:tcPr>
            <w:tcW w:type="dxa" w:w="195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T1优先；项目实例按T2</w:t>
            </w:r>
          </w:p>
        </w:tc>
        <w:tc>
          <w:tcPr>
            <w:tcW w:type="dxa" w:w="1388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公司业务组</w:t>
            </w:r>
          </w:p>
        </w:tc>
        <w:tc>
          <w:tcPr>
            <w:tcW w:type="dxa" w:w="822"/>
            <w:vAlign w:val="center"/>
            <w:shd w:fill="F5F8FB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NS-15</w:t>
            </w:r>
          </w:p>
        </w:tc>
        <w:tc>
          <w:tcPr>
            <w:tcW w:type="dxa" w:w="1644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放弃优先认购权/优先购买权声明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区分增资与股权对外转让场景，避免混用</w:t>
            </w:r>
          </w:p>
        </w:tc>
        <w:tc>
          <w:tcPr>
            <w:tcW w:type="dxa" w:w="651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A</w:t>
            </w:r>
          </w:p>
        </w:tc>
        <w:tc>
          <w:tcPr>
            <w:tcW w:type="dxa" w:w="1587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所内成熟模板</w:t>
            </w:r>
          </w:p>
        </w:tc>
        <w:tc>
          <w:tcPr>
            <w:tcW w:type="dxa" w:w="195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T1优先；项目实例按T2</w:t>
            </w:r>
          </w:p>
        </w:tc>
        <w:tc>
          <w:tcPr>
            <w:tcW w:type="dxa" w:w="1388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公司业务组</w:t>
            </w:r>
          </w:p>
        </w:tc>
        <w:tc>
          <w:tcPr>
            <w:tcW w:type="dxa" w:w="822"/>
            <w:vAlign w:val="center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NS-16</w:t>
            </w:r>
          </w:p>
        </w:tc>
        <w:tc>
          <w:tcPr>
            <w:tcW w:type="dxa" w:w="1644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创始人及核心员工承诺文件包</w:t>
            </w:r>
          </w:p>
        </w:tc>
        <w:tc>
          <w:tcPr>
            <w:tcW w:type="dxa" w:w="5102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竞业限制、服务期、保密、知识产权归属、配合交割等；注意劳动法适用边界</w:t>
            </w:r>
          </w:p>
        </w:tc>
        <w:tc>
          <w:tcPr>
            <w:tcW w:type="dxa" w:w="651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B</w:t>
            </w:r>
          </w:p>
        </w:tc>
        <w:tc>
          <w:tcPr>
            <w:tcW w:type="dxa" w:w="1587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所内成熟模板</w:t>
            </w:r>
          </w:p>
        </w:tc>
        <w:tc>
          <w:tcPr>
            <w:tcW w:type="dxa" w:w="195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T1优先；项目实例按T2</w:t>
            </w:r>
          </w:p>
        </w:tc>
        <w:tc>
          <w:tcPr>
            <w:tcW w:type="dxa" w:w="1388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非诉组/劳动组</w:t>
            </w:r>
          </w:p>
        </w:tc>
        <w:tc>
          <w:tcPr>
            <w:tcW w:type="dxa" w:w="822"/>
            <w:vAlign w:val="center"/>
            <w:shd w:fill="F5F8FB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NS-17</w:t>
            </w:r>
          </w:p>
        </w:tc>
        <w:tc>
          <w:tcPr>
            <w:tcW w:type="dxa" w:w="1644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知识产权转让/归属确认文件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创始人、员工或关联方将项目相关IP转归目标公司的文件</w:t>
            </w:r>
          </w:p>
        </w:tc>
        <w:tc>
          <w:tcPr>
            <w:tcW w:type="dxa" w:w="651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B</w:t>
            </w:r>
          </w:p>
        </w:tc>
        <w:tc>
          <w:tcPr>
            <w:tcW w:type="dxa" w:w="1587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所内成熟模板</w:t>
            </w:r>
          </w:p>
        </w:tc>
        <w:tc>
          <w:tcPr>
            <w:tcW w:type="dxa" w:w="195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T1优先；项目实例按T2</w:t>
            </w:r>
          </w:p>
        </w:tc>
        <w:tc>
          <w:tcPr>
            <w:tcW w:type="dxa" w:w="1388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非诉组/IP组</w:t>
            </w:r>
          </w:p>
        </w:tc>
        <w:tc>
          <w:tcPr>
            <w:tcW w:type="dxa" w:w="822"/>
            <w:vAlign w:val="center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NS-18</w:t>
            </w:r>
          </w:p>
        </w:tc>
        <w:tc>
          <w:tcPr>
            <w:tcW w:type="dxa" w:w="1644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董事委任及授权文件</w:t>
            </w:r>
          </w:p>
        </w:tc>
        <w:tc>
          <w:tcPr>
            <w:tcW w:type="dxa" w:w="5102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董事委任书、提名通知、参会授权委托等</w:t>
            </w:r>
          </w:p>
        </w:tc>
        <w:tc>
          <w:tcPr>
            <w:tcW w:type="dxa" w:w="651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B</w:t>
            </w:r>
          </w:p>
        </w:tc>
        <w:tc>
          <w:tcPr>
            <w:tcW w:type="dxa" w:w="1587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所内成熟模板</w:t>
            </w:r>
          </w:p>
        </w:tc>
        <w:tc>
          <w:tcPr>
            <w:tcW w:type="dxa" w:w="195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T1优先；项目实例按T2</w:t>
            </w:r>
          </w:p>
        </w:tc>
        <w:tc>
          <w:tcPr>
            <w:tcW w:type="dxa" w:w="1388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公司业务组</w:t>
            </w:r>
          </w:p>
        </w:tc>
        <w:tc>
          <w:tcPr>
            <w:tcW w:type="dxa" w:w="822"/>
            <w:vAlign w:val="center"/>
            <w:shd w:fill="F5F8FB"/>
          </w:tcPr>
          <w:p>
            <w:r/>
          </w:p>
        </w:tc>
      </w:tr>
    </w:tbl>
    <w:bookmarkStart w:id="17" w:name="vie红筹专项收集表"/>
    <w:p>
      <w:pPr>
        <w:pStyle w:val="Heading3"/>
        <w:jc w:val="left"/>
      </w:pPr>
      <w:r>
        <w:rPr>
          <w:rFonts w:hint="eastAsia" w:ascii="Arial Unicode MS" w:hAnsi="Arial Unicode MS" w:eastAsia="Arial Unicode MS" w:cs="Arial Unicode MS"/>
        </w:rPr>
        <w:t xml:space="preserve">VIE/红筹专项收集表</w:t>
      </w:r>
    </w:p>
    <w:p>
      <w:pPr>
        <w:pStyle w:val="BlockText"/>
      </w:pPr>
      <w:r>
        <w:rPr>
          <w:rFonts w:hint="eastAsia" w:ascii="Arial Unicode MS" w:hAnsi="Arial Unicode MS" w:eastAsia="Arial Unicode MS" w:cs="Arial Unicode MS"/>
        </w:rPr>
        <w:t xml:space="preserve">VIE/红筹为第一批核心专项，与股权投融资交易并列。第一版以中国创始人搭建开曼/BVI-香港-WFOE-VIE常见架构为基准；具体法域文件应由具备相应资质的境内外律师复核。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color="AAB7C4"/>
          <w:left w:val="single" w:sz="4" w:color="AAB7C4"/>
          <w:bottom w:val="single" w:sz="4" w:color="AAB7C4"/>
          <w:right w:val="single" w:sz="4" w:color="AAB7C4"/>
          <w:insideH w:val="single" w:sz="4" w:color="AAB7C4"/>
          <w:insideV w:val="single" w:sz="4" w:color="AAB7C4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  <w:cantSplit/>
          <w:tblHeader w:val="true"/>
        </w:trPr>
        <w:tc>
          <w:tcPr>
            <w:tcW w:type="dxa" w:w="595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6"/>
              </w:rPr>
              <w:t xml:space="preserve">编号</w:t>
            </w:r>
          </w:p>
        </w:tc>
        <w:tc>
          <w:tcPr>
            <w:tcW w:type="dxa" w:w="1644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6"/>
              </w:rPr>
              <w:t xml:space="preserve">文件或材料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6"/>
              </w:rPr>
              <w:t xml:space="preserve">具体版本与最低内容要求</w:t>
            </w:r>
          </w:p>
        </w:tc>
        <w:tc>
          <w:tcPr>
            <w:tcW w:type="dxa" w:w="651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6"/>
              </w:rPr>
              <w:t xml:space="preserve">优先级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6"/>
              </w:rPr>
              <w:t xml:space="preserve">优先来源</w:t>
            </w:r>
          </w:p>
        </w:tc>
        <w:tc>
          <w:tcPr>
            <w:tcW w:type="dxa" w:w="1955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6"/>
              </w:rPr>
              <w:t xml:space="preserve">使用级别/访问要求</w:t>
            </w:r>
          </w:p>
        </w:tc>
        <w:tc>
          <w:tcPr>
            <w:tcW w:type="dxa" w:w="1388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6"/>
              </w:rPr>
              <w:t xml:space="preserve">建议提供组</w:t>
            </w:r>
          </w:p>
        </w:tc>
        <w:tc>
          <w:tcPr>
            <w:tcW w:type="dxa" w:w="822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6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RC-01</w:t>
            </w:r>
          </w:p>
        </w:tc>
        <w:tc>
          <w:tcPr>
            <w:tcW w:type="dxa" w:w="1644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红筹/VIE架构设计方案及架构图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搭建前后架构、持股路径、返程投资、外汇、税务、外资准入、数据及境外上市备案节点</w:t>
            </w:r>
          </w:p>
        </w:tc>
        <w:tc>
          <w:tcPr>
            <w:tcW w:type="dxa" w:w="651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A</w:t>
            </w:r>
          </w:p>
        </w:tc>
        <w:tc>
          <w:tcPr>
            <w:tcW w:type="dxa" w:w="1587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所内成熟项目</w:t>
            </w:r>
          </w:p>
        </w:tc>
        <w:tc>
          <w:tcPr>
            <w:tcW w:type="dxa" w:w="195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T2受限种子；转T1时去客户化</w:t>
            </w:r>
          </w:p>
        </w:tc>
        <w:tc>
          <w:tcPr>
            <w:tcW w:type="dxa" w:w="1388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跨境非诉组</w:t>
            </w:r>
          </w:p>
        </w:tc>
        <w:tc>
          <w:tcPr>
            <w:tcW w:type="dxa" w:w="822"/>
            <w:vAlign w:val="center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RC-02</w:t>
            </w:r>
          </w:p>
        </w:tc>
        <w:tc>
          <w:tcPr>
            <w:tcW w:type="dxa" w:w="1644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境外持股架构设立文件清单</w:t>
            </w:r>
          </w:p>
        </w:tc>
        <w:tc>
          <w:tcPr>
            <w:tcW w:type="dxa" w:w="5102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开曼/BVI创始人持股公司、开曼上市主体、香港中间层等设立和股权文件清单；公司秘书官方表格可作附件</w:t>
            </w:r>
          </w:p>
        </w:tc>
        <w:tc>
          <w:tcPr>
            <w:tcW w:type="dxa" w:w="651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B</w:t>
            </w:r>
          </w:p>
        </w:tc>
        <w:tc>
          <w:tcPr>
            <w:tcW w:type="dxa" w:w="1587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境外律师/公司秘书</w:t>
            </w:r>
            <w:r>
              <w:rPr>
                <w:rFonts w:ascii="Arial Unicode MS" w:hAnsi="Arial Unicode MS" w:eastAsia="Arial Unicode MS" w:cs="Arial Unicode MS"/>
                <w:sz w:val="16"/>
              </w:rPr>
              <w:t xml:space="preserve"> + </w:t>
            </w: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所内清单</w:t>
            </w:r>
          </w:p>
        </w:tc>
        <w:tc>
          <w:tcPr>
            <w:tcW w:type="dxa" w:w="195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官方材料按T1；项目实例按T2</w:t>
            </w:r>
          </w:p>
        </w:tc>
        <w:tc>
          <w:tcPr>
            <w:tcW w:type="dxa" w:w="1388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跨境非诉组</w:t>
            </w:r>
          </w:p>
        </w:tc>
        <w:tc>
          <w:tcPr>
            <w:tcW w:type="dxa" w:w="822"/>
            <w:vAlign w:val="center"/>
            <w:shd w:fill="F5F8FB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RC-03</w:t>
            </w:r>
          </w:p>
        </w:tc>
        <w:tc>
          <w:tcPr>
            <w:tcW w:type="dxa" w:w="1644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境内重组及返程投资文件包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境内股权重组、WFOE设立或收购、业务和资产安排、内部决议、股权转让或增资文件</w:t>
            </w:r>
          </w:p>
        </w:tc>
        <w:tc>
          <w:tcPr>
            <w:tcW w:type="dxa" w:w="651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A</w:t>
            </w:r>
          </w:p>
        </w:tc>
        <w:tc>
          <w:tcPr>
            <w:tcW w:type="dxa" w:w="1587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所内成熟项目</w:t>
            </w:r>
          </w:p>
        </w:tc>
        <w:tc>
          <w:tcPr>
            <w:tcW w:type="dxa" w:w="195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T2受限种子；转T1时去客户化</w:t>
            </w:r>
          </w:p>
        </w:tc>
        <w:tc>
          <w:tcPr>
            <w:tcW w:type="dxa" w:w="1388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跨境非诉组</w:t>
            </w:r>
          </w:p>
        </w:tc>
        <w:tc>
          <w:tcPr>
            <w:tcW w:type="dxa" w:w="822"/>
            <w:vAlign w:val="center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RC-04</w:t>
            </w:r>
          </w:p>
        </w:tc>
        <w:tc>
          <w:tcPr>
            <w:tcW w:type="dxa" w:w="1644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VIE核心协议包</w:t>
            </w:r>
          </w:p>
        </w:tc>
        <w:tc>
          <w:tcPr>
            <w:tcW w:type="dxa" w:w="5102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独家业务合作/技术服务、独家购买权、股权质押、表决权委托或授权委托；贷款协议等按项目适用</w:t>
            </w:r>
          </w:p>
        </w:tc>
        <w:tc>
          <w:tcPr>
            <w:tcW w:type="dxa" w:w="651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A</w:t>
            </w:r>
          </w:p>
        </w:tc>
        <w:tc>
          <w:tcPr>
            <w:tcW w:type="dxa" w:w="1587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所内成熟模板</w:t>
            </w:r>
          </w:p>
        </w:tc>
        <w:tc>
          <w:tcPr>
            <w:tcW w:type="dxa" w:w="195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T2受限种子；转T1时去客户化</w:t>
            </w:r>
          </w:p>
        </w:tc>
        <w:tc>
          <w:tcPr>
            <w:tcW w:type="dxa" w:w="1388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跨境非诉组负责人</w:t>
            </w:r>
          </w:p>
        </w:tc>
        <w:tc>
          <w:tcPr>
            <w:tcW w:type="dxa" w:w="822"/>
            <w:vAlign w:val="center"/>
            <w:shd w:fill="F5F8FB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RC-05</w:t>
            </w:r>
          </w:p>
        </w:tc>
        <w:tc>
          <w:tcPr>
            <w:tcW w:type="dxa" w:w="1644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VIE配套文件包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配偶同意函、股东及董事决议、授权文件、股权质押登记文件、签署及交割清单</w:t>
            </w:r>
          </w:p>
        </w:tc>
        <w:tc>
          <w:tcPr>
            <w:tcW w:type="dxa" w:w="651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A</w:t>
            </w:r>
          </w:p>
        </w:tc>
        <w:tc>
          <w:tcPr>
            <w:tcW w:type="dxa" w:w="1587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所内成熟模板</w:t>
            </w:r>
            <w:r>
              <w:rPr>
                <w:rFonts w:ascii="Arial Unicode MS" w:hAnsi="Arial Unicode MS" w:eastAsia="Arial Unicode MS" w:cs="Arial Unicode MS"/>
                <w:sz w:val="16"/>
              </w:rPr>
              <w:t xml:space="preserve"> + </w:t>
            </w: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登记机关要求</w:t>
            </w:r>
          </w:p>
        </w:tc>
        <w:tc>
          <w:tcPr>
            <w:tcW w:type="dxa" w:w="195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T2受限种子；转T1时去客户化</w:t>
            </w:r>
          </w:p>
        </w:tc>
        <w:tc>
          <w:tcPr>
            <w:tcW w:type="dxa" w:w="1388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跨境非诉组</w:t>
            </w:r>
          </w:p>
        </w:tc>
        <w:tc>
          <w:tcPr>
            <w:tcW w:type="dxa" w:w="822"/>
            <w:vAlign w:val="center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RC-06</w:t>
            </w:r>
          </w:p>
        </w:tc>
        <w:tc>
          <w:tcPr>
            <w:tcW w:type="dxa" w:w="1644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37号文登记材料及办理清单</w:t>
            </w:r>
          </w:p>
        </w:tc>
        <w:tc>
          <w:tcPr>
            <w:tcW w:type="dxa" w:w="5102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境内居民特殊目的公司外汇登记、变更、补登记和注销；以银行及外汇管理最新要求为准</w:t>
            </w:r>
          </w:p>
        </w:tc>
        <w:tc>
          <w:tcPr>
            <w:tcW w:type="dxa" w:w="651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A</w:t>
            </w:r>
          </w:p>
        </w:tc>
        <w:tc>
          <w:tcPr>
            <w:tcW w:type="dxa" w:w="1587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所内成熟项目</w:t>
            </w:r>
            <w:r>
              <w:rPr>
                <w:rFonts w:ascii="Arial Unicode MS" w:hAnsi="Arial Unicode MS" w:eastAsia="Arial Unicode MS" w:cs="Arial Unicode MS"/>
                <w:sz w:val="16"/>
              </w:rPr>
              <w:t xml:space="preserve"> + </w:t>
            </w: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银行材料</w:t>
            </w:r>
          </w:p>
        </w:tc>
        <w:tc>
          <w:tcPr>
            <w:tcW w:type="dxa" w:w="195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T2受限种子；转T1时去客户化</w:t>
            </w:r>
          </w:p>
        </w:tc>
        <w:tc>
          <w:tcPr>
            <w:tcW w:type="dxa" w:w="1388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跨境非诉组</w:t>
            </w:r>
          </w:p>
        </w:tc>
        <w:tc>
          <w:tcPr>
            <w:tcW w:type="dxa" w:w="822"/>
            <w:vAlign w:val="center"/>
            <w:shd w:fill="F5F8FB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RC-07</w:t>
            </w:r>
          </w:p>
        </w:tc>
        <w:tc>
          <w:tcPr>
            <w:tcW w:type="dxa" w:w="1644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ODI/FDI及外商投资信息报告材料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适用于机构股东出境、返程投资、外资准入和信息报告的路径清单及常用文件</w:t>
            </w:r>
          </w:p>
        </w:tc>
        <w:tc>
          <w:tcPr>
            <w:tcW w:type="dxa" w:w="651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B</w:t>
            </w:r>
          </w:p>
        </w:tc>
        <w:tc>
          <w:tcPr>
            <w:tcW w:type="dxa" w:w="1587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所内成熟项目</w:t>
            </w:r>
            <w:r>
              <w:rPr>
                <w:rFonts w:ascii="Arial Unicode MS" w:hAnsi="Arial Unicode MS" w:eastAsia="Arial Unicode MS" w:cs="Arial Unicode MS"/>
                <w:sz w:val="16"/>
              </w:rPr>
              <w:t xml:space="preserve"> + </w:t>
            </w: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官方材料</w:t>
            </w:r>
          </w:p>
        </w:tc>
        <w:tc>
          <w:tcPr>
            <w:tcW w:type="dxa" w:w="195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官方材料按T1；项目实例按T2</w:t>
            </w:r>
          </w:p>
        </w:tc>
        <w:tc>
          <w:tcPr>
            <w:tcW w:type="dxa" w:w="1388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跨境非诉组</w:t>
            </w:r>
          </w:p>
        </w:tc>
        <w:tc>
          <w:tcPr>
            <w:tcW w:type="dxa" w:w="822"/>
            <w:vAlign w:val="center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RC-08</w:t>
            </w:r>
          </w:p>
        </w:tc>
        <w:tc>
          <w:tcPr>
            <w:tcW w:type="dxa" w:w="1644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境外上市备案及数据合规核查清单</w:t>
            </w:r>
          </w:p>
        </w:tc>
        <w:tc>
          <w:tcPr>
            <w:tcW w:type="dxa" w:w="5102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证监会境外上市备案、网络安全审查、数据出境、行业准入及VIE风险披露核查</w:t>
            </w:r>
          </w:p>
        </w:tc>
        <w:tc>
          <w:tcPr>
            <w:tcW w:type="dxa" w:w="651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A</w:t>
            </w:r>
          </w:p>
        </w:tc>
        <w:tc>
          <w:tcPr>
            <w:tcW w:type="dxa" w:w="1587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所内成熟项目</w:t>
            </w:r>
            <w:r>
              <w:rPr>
                <w:rFonts w:ascii="Arial Unicode MS" w:hAnsi="Arial Unicode MS" w:eastAsia="Arial Unicode MS" w:cs="Arial Unicode MS"/>
                <w:sz w:val="16"/>
              </w:rPr>
              <w:t xml:space="preserve"> + </w:t>
            </w: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官方规则</w:t>
            </w:r>
          </w:p>
        </w:tc>
        <w:tc>
          <w:tcPr>
            <w:tcW w:type="dxa" w:w="195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官方材料按T1；项目实例按T2</w:t>
            </w:r>
          </w:p>
        </w:tc>
        <w:tc>
          <w:tcPr>
            <w:tcW w:type="dxa" w:w="1388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资本市场组/合规组</w:t>
            </w:r>
          </w:p>
        </w:tc>
        <w:tc>
          <w:tcPr>
            <w:tcW w:type="dxa" w:w="822"/>
            <w:vAlign w:val="center"/>
            <w:shd w:fill="F5F8FB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RC-09</w:t>
            </w:r>
          </w:p>
        </w:tc>
        <w:tc>
          <w:tcPr>
            <w:tcW w:type="dxa" w:w="1644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VIE/红筹架构拆除文件包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VIE协议终止、境外投资人退出或落地、WFOE及境内股权重组、37号文注销、税务和内部决议</w:t>
            </w:r>
          </w:p>
        </w:tc>
        <w:tc>
          <w:tcPr>
            <w:tcW w:type="dxa" w:w="651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B</w:t>
            </w:r>
          </w:p>
        </w:tc>
        <w:tc>
          <w:tcPr>
            <w:tcW w:type="dxa" w:w="1587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所内成熟项目</w:t>
            </w:r>
          </w:p>
        </w:tc>
        <w:tc>
          <w:tcPr>
            <w:tcW w:type="dxa" w:w="195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T2受限种子；转T1时去客户化</w:t>
            </w:r>
          </w:p>
        </w:tc>
        <w:tc>
          <w:tcPr>
            <w:tcW w:type="dxa" w:w="1388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跨境非诉组</w:t>
            </w:r>
          </w:p>
        </w:tc>
        <w:tc>
          <w:tcPr>
            <w:tcW w:type="dxa" w:w="822"/>
            <w:vAlign w:val="center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RC-10</w:t>
            </w:r>
          </w:p>
        </w:tc>
        <w:tc>
          <w:tcPr>
            <w:tcW w:type="dxa" w:w="1644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红筹架构员工激励文件包</w:t>
            </w:r>
          </w:p>
        </w:tc>
        <w:tc>
          <w:tcPr>
            <w:tcW w:type="dxa" w:w="5102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境外期权计划、授予协议、行权文件、境内员工外汇及税务合规清单</w:t>
            </w:r>
          </w:p>
        </w:tc>
        <w:tc>
          <w:tcPr>
            <w:tcW w:type="dxa" w:w="651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B</w:t>
            </w:r>
          </w:p>
        </w:tc>
        <w:tc>
          <w:tcPr>
            <w:tcW w:type="dxa" w:w="1587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所内成熟项目</w:t>
            </w:r>
            <w:r>
              <w:rPr>
                <w:rFonts w:ascii="Arial Unicode MS" w:hAnsi="Arial Unicode MS" w:eastAsia="Arial Unicode MS" w:cs="Arial Unicode MS"/>
                <w:sz w:val="16"/>
              </w:rPr>
              <w:t xml:space="preserve"> + </w:t>
            </w: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境外律师</w:t>
            </w:r>
          </w:p>
        </w:tc>
        <w:tc>
          <w:tcPr>
            <w:tcW w:type="dxa" w:w="195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T2受限种子；转T1时去客户化</w:t>
            </w:r>
          </w:p>
        </w:tc>
        <w:tc>
          <w:tcPr>
            <w:tcW w:type="dxa" w:w="1388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跨境非诉组/劳动组</w:t>
            </w:r>
          </w:p>
        </w:tc>
        <w:tc>
          <w:tcPr>
            <w:tcW w:type="dxa" w:w="822"/>
            <w:vAlign w:val="center"/>
            <w:shd w:fill="F5F8FB"/>
          </w:tcPr>
          <w:p>
            <w:r/>
          </w:p>
        </w:tc>
      </w:tr>
    </w:tbl>
    <w:bookmarkEnd w:id="17"/>
    <w:bookmarkStart w:id="18" w:name="非诉后续批次"/>
    <w:p>
      <w:pPr>
        <w:pStyle w:val="Heading3"/>
        <w:jc w:val="left"/>
      </w:pPr>
      <w:r>
        <w:rPr>
          <w:rFonts w:hint="eastAsia" w:ascii="Arial Unicode MS" w:hAnsi="Arial Unicode MS" w:eastAsia="Arial Unicode MS" w:cs="Arial Unicode MS"/>
        </w:rPr>
        <w:t xml:space="preserve">非诉后续批次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重大资产重组、IPO申报全套文件、经营者集中申报、贷款及银团贷款、担保合同包、债券、ABS/REITs等先保留在总清单，不纳入本次立即认领范围。IPO法律尽调及VIE/红筹文件已经纳入本批。</w:t>
      </w:r>
    </w:p>
    <w:p>
      <w:r>
        <w:rPr>
          <w:rFonts w:ascii="Arial Unicode MS" w:hAnsi="Arial Unicode MS" w:eastAsia="Arial Unicode MS" w:cs="Arial Unicode MS"/>
        </w:rPr>
        <w:pict>
          <v:rect style="width:0;height:1.5pt" o:hralign="center" o:hrstd="t" o:hr="t"/>
        </w:pict>
      </w:r>
    </w:p>
    <w:bookmarkEnd w:id="18"/>
    <w:bookmarkEnd w:id="19"/>
    <w:bookmarkStart w:id="20" w:name="四法规和版本提示"/>
    <w:p>
      <w:pPr>
        <w:pStyle w:val="Heading2"/>
        <w:jc w:val="left"/>
      </w:pPr>
      <w:r>
        <w:rPr>
          <w:rFonts w:hint="eastAsia" w:ascii="Arial Unicode MS" w:hAnsi="Arial Unicode MS" w:eastAsia="Arial Unicode MS" w:cs="Arial Unicode MS"/>
        </w:rPr>
        <w:t xml:space="preserve">四、法规和版本提示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eastAsia="Arial Unicode MS" w:cs="Arial Unicode MS"/>
        </w:rPr>
        <w:t xml:space="preserve">《公司法》应统一表述为“2023年修订、2024年7月1日起施行”，不得继续使用2018年及更早版本的条文和治理表述。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eastAsia="Arial Unicode MS" w:cs="Arial Unicode MS"/>
        </w:rPr>
        <w:t xml:space="preserve">争议解决条款应对照2026年3月1日起施行的新修订《仲裁法》复核。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eastAsia="Arial Unicode MS" w:cs="Arial Unicode MS"/>
        </w:rPr>
        <w:t xml:space="preserve">DD涉及个人信息、数据出境、网络安全和AI业务时，应使用现行数据合规规则，不能只沿用旧版隐私和网络安全表述。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eastAsia="Arial Unicode MS" w:cs="Arial Unicode MS"/>
        </w:rPr>
        <w:t xml:space="preserve">VIE/红筹文件应逐项目核对外商投资准入、37号文登记、ODI/FDI、境外上市备案、网络安全审查及数据出境要求。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eastAsia="Arial Unicode MS" w:cs="Arial Unicode MS"/>
        </w:rPr>
        <w:t xml:space="preserve">境外法域公司文件、税务意见和监管申报材料应由相应法域专业人士复核，不得仅凭境内模板直接使用。</w:t>
      </w:r>
    </w:p>
    <w:bookmarkEnd w:id="20"/>
    <w:bookmarkStart w:id="21" w:name="五认领与汇总建议"/>
    <w:p>
      <w:pPr>
        <w:pStyle w:val="Heading2"/>
        <w:jc w:val="left"/>
      </w:pPr>
      <w:r>
        <w:rPr>
          <w:rFonts w:hint="eastAsia" w:ascii="Arial Unicode MS" w:hAnsi="Arial Unicode MS" w:eastAsia="Arial Unicode MS" w:cs="Arial Unicode MS"/>
        </w:rPr>
        <w:t xml:space="preserve">五、认领与汇总建议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Arial Unicode MS" w:hAnsi="Arial Unicode MS" w:eastAsia="Arial Unicode MS" w:cs="Arial Unicode MS"/>
        </w:rPr>
        <w:t xml:space="preserve">先由各业务组负责人认领</w:t>
      </w:r>
      <w:r>
        <w:rPr>
          <w:rFonts w:ascii="Arial Unicode MS" w:hAnsi="Arial Unicode MS" w:eastAsia="Arial Unicode MS" w:cs="Arial Unicode MS"/>
        </w:rPr>
        <w:t xml:space="preserve"> A </w:t>
      </w:r>
      <w:r>
        <w:rPr>
          <w:rFonts w:hint="eastAsia" w:ascii="Arial Unicode MS" w:hAnsi="Arial Unicode MS" w:eastAsia="Arial Unicode MS" w:cs="Arial Unicode MS"/>
        </w:rPr>
        <w:t xml:space="preserve">类材料，并在本表填写提供人及预计提交日期。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Arial Unicode MS" w:hAnsi="Arial Unicode MS" w:eastAsia="Arial Unicode MS" w:cs="Arial Unicode MS"/>
        </w:rPr>
        <w:t xml:space="preserve">每个编号原则上选定一份基准模板；其他文件只有在场景、立场或法域存在实质差异时作为补充版本。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Arial Unicode MS" w:hAnsi="Arial Unicode MS" w:eastAsia="Arial Unicode MS" w:cs="Arial Unicode MS"/>
        </w:rPr>
        <w:t xml:space="preserve">研究支持人员统一下载官方文件，避免多名律师重复准备官方范本。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Arial Unicode MS" w:hAnsi="Arial Unicode MS" w:eastAsia="Arial Unicode MS" w:cs="Arial Unicode MS"/>
        </w:rPr>
        <w:t xml:space="preserve">汇总人员应核对每份资料的T1/T2/T3/T4等级、来源和授权范围；T2、T3资料须配置相应访问权限，不得默认进入全所共享检索。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Arial Unicode MS" w:hAnsi="Arial Unicode MS" w:eastAsia="Arial Unicode MS" w:cs="Arial Unicode MS"/>
        </w:rPr>
        <w:t xml:space="preserve">第一轮收集完成后，由非诉组、资本市场组和跨境非诉组召开评审会，确定基准版、补充版及暂不采用文件。</w:t>
      </w:r>
    </w:p>
    <w:bookmarkEnd w:id="21"/>
    <w:bookmarkStart w:id="22" w:name="六第一轮建议时间表"/>
    <w:p>
      <w:pPr>
        <w:pStyle w:val="Heading2"/>
        <w:jc w:val="left"/>
      </w:pPr>
      <w:r>
        <w:rPr>
          <w:rFonts w:hint="eastAsia" w:ascii="Arial Unicode MS" w:hAnsi="Arial Unicode MS" w:eastAsia="Arial Unicode MS" w:cs="Arial Unicode MS"/>
        </w:rPr>
        <w:t xml:space="preserve">六、第一轮建议时间表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color="AAB7C4"/>
          <w:left w:val="single" w:sz="4" w:color="AAB7C4"/>
          <w:bottom w:val="single" w:sz="4" w:color="AAB7C4"/>
          <w:right w:val="single" w:sz="4" w:color="AAB7C4"/>
          <w:insideH w:val="single" w:sz="4" w:color="AAB7C4"/>
          <w:insideV w:val="single" w:sz="4" w:color="AAB7C4"/>
        </w:tblBorders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tcW w:type="dxa" w:w="1870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8"/>
              </w:rPr>
              <w:t xml:space="preserve">阶段</w:t>
            </w:r>
          </w:p>
        </w:tc>
        <w:tc>
          <w:tcPr>
            <w:tcW w:type="dxa" w:w="4308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8"/>
              </w:rPr>
              <w:t xml:space="preserve">工作</w:t>
            </w:r>
          </w:p>
        </w:tc>
        <w:tc>
          <w:tcPr>
            <w:tcW w:type="dxa" w:w="8447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8"/>
              </w:rPr>
              <w:t xml:space="preserve">建议完成时间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认领</w:t>
            </w:r>
          </w:p>
        </w:tc>
        <w:tc>
          <w:tcPr>
            <w:tcW w:type="dxa" w:w="4308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确定每项提供人、现有文件情况和预计提交日期</w:t>
            </w:r>
          </w:p>
        </w:tc>
        <w:tc>
          <w:tcPr>
            <w:tcW w:type="dxa" w:w="8447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发出清单后3个工作日内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A类提交</w:t>
            </w:r>
          </w:p>
        </w:tc>
        <w:tc>
          <w:tcPr>
            <w:tcW w:type="dxa" w:w="4308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提交A类模板、成品报告或完整文件包</w:t>
            </w:r>
          </w:p>
        </w:tc>
        <w:tc>
          <w:tcPr>
            <w:tcW w:type="dxa" w:w="8447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认领后7个工作日内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初步复核</w:t>
            </w:r>
          </w:p>
        </w:tc>
        <w:tc>
          <w:tcPr>
            <w:tcW w:type="dxa" w:w="4308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检查完整性、版本、来源、授权及资料等级</w:t>
            </w:r>
          </w:p>
        </w:tc>
        <w:tc>
          <w:tcPr>
            <w:tcW w:type="dxa" w:w="8447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提交后5个工作日内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B类补充</w:t>
            </w:r>
          </w:p>
        </w:tc>
        <w:tc>
          <w:tcPr>
            <w:tcW w:type="dxa" w:w="4308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根据缺口补充B类材料和变体</w:t>
            </w:r>
          </w:p>
        </w:tc>
        <w:tc>
          <w:tcPr>
            <w:tcW w:type="dxa" w:w="8447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初步复核后7个工作日内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基准确认</w:t>
            </w:r>
          </w:p>
        </w:tc>
        <w:tc>
          <w:tcPr>
            <w:tcW w:type="dxa" w:w="4308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业务组评审并确认每项基准模板</w:t>
            </w:r>
          </w:p>
        </w:tc>
        <w:tc>
          <w:tcPr>
            <w:tcW w:type="dxa" w:w="8447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B类补充后5个工作日内</w:t>
            </w:r>
          </w:p>
        </w:tc>
      </w:tr>
    </w:tbl>
    <w:p>
      <w:r>
        <w:rPr>
          <w:rFonts w:ascii="Arial Unicode MS" w:hAnsi="Arial Unicode MS" w:eastAsia="Arial Unicode MS" w:cs="Arial Unicode MS"/>
        </w:rPr>
        <w:pict>
          <v:rect style="width:0;height:1.5pt" o:hralign="center" o:hrstd="t" o:hr="t"/>
        </w:pict>
      </w:r>
    </w:p>
    <w:p>
      <w:pPr>
        <w:pStyle w:val="BlockText"/>
        <w:keepLines/>
        <w:spacing w:before="160"/>
      </w:pPr>
      <w:r>
        <w:rPr>
          <w:rFonts w:hint="eastAsia" w:ascii="Arial Unicode MS" w:hAnsi="Arial Unicode MS" w:eastAsia="Arial Unicode MS" w:cs="Arial Unicode MS"/>
        </w:rPr>
        <w:t xml:space="preserve">本文件为非诉业务第一批第一版，供内部认领和征求意见使用。模板是否最终采用，应在完成来源及授权、现行法规、内容质量和资料分级复核后确定。</w:t>
      </w:r>
    </w:p>
    <w:bookmarkEnd w:id="22"/>
    <w:bookmarkEnd w:id="23"/>
    <w:sectPr>
      <w:footnotePr>
        <w:numRestart w:val="eachSect"/>
      </w:footnotePr>
      <w:pgSz w:orient="landscape" w:w="16838" w:h="11906"/>
      <w:pgMar w:top="822" w:bottom="765" w:left="794" w:right="794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 Unicode MS" w:hAnsi="Arial Unicode MS" w:eastAsia="Arial Unicode MS" w:cs="Arial Unicode MS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69" w:lineRule="auto"/>
    </w:pPr>
    <w:rPr>
      <w:rFonts w:ascii="Arial Unicode MS" w:hAnsi="Arial Unicode MS" w:eastAsia="Arial Unicode MS" w:cs="Arial Unicode MS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100" w:line="240" w:lineRule="auto" w:before="160"/>
      <w:contextualSpacing/>
      <w:jc w:val="center"/>
    </w:pPr>
    <w:rPr>
      <w:rFonts w:ascii="Arial Unicode MS" w:hAnsi="Arial Unicode MS" w:eastAsia="Arial Unicode MS" w:cs="Arial Unicode MS"/>
      <w:b/>
      <w:color w:val="1F4E79"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rial Unicode MS" w:hAnsi="Arial Unicode MS" w:eastAsia="Arial Unicode MS" w:cs="Arial Unicode MS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 Unicode MS" w:hAnsi="Arial Unicode MS" w:eastAsia="Arial Unicode MS" w:cs="Arial Unicode MS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Arial Unicode MS" w:hAnsi="Arial Unicode MS" w:eastAsia="Arial Unicode MS" w:cs="Arial Unicode MS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00" w:before="160"/>
      <w:outlineLvl w:val="0"/>
    </w:pPr>
    <w:rPr>
      <w:rFonts w:ascii="Arial Unicode MS" w:hAnsi="Arial Unicode MS" w:eastAsia="Arial Unicode MS" w:cs="Arial Unicode MS"/>
      <w:b/>
      <w:color w:val="1F4E79"/>
      <w:sz w:val="3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00" w:before="160"/>
      <w:outlineLvl w:val="1"/>
    </w:pPr>
    <w:rPr>
      <w:rFonts w:ascii="Arial Unicode MS" w:hAnsi="Arial Unicode MS" w:eastAsia="Arial Unicode MS" w:cs="Arial Unicode MS"/>
      <w:b/>
      <w:color w:val="1F4E79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160"/>
      <w:outlineLvl w:val="2"/>
    </w:pPr>
    <w:rPr>
      <w:rFonts w:ascii="Arial Unicode MS" w:hAnsi="Arial Unicode MS" w:eastAsia="Arial Unicode MS" w:cs="Arial Unicode MS"/>
      <w:b/>
      <w:color w:val="2F5478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 Unicode MS" w:hAnsi="Arial Unicode MS" w:eastAsia="Arial Unicode MS" w:cs="Arial Unicode MS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Arial Unicode MS" w:hAnsi="Arial Unicode MS" w:eastAsia="Arial Unicode MS" w:cs="Arial Unicode MS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Arial Unicode MS" w:hAnsi="Arial Unicode MS" w:eastAsia="Arial Unicode MS" w:cs="Arial Unicode MS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Arial Unicode MS" w:hAnsi="Arial Unicode MS" w:eastAsia="Arial Unicode MS" w:cs="Arial Unicode MS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Arial Unicode MS" w:hAnsi="Arial Unicode MS" w:eastAsia="Arial Unicode MS" w:cs="Arial Unicode MS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Arial Unicode MS" w:hAnsi="Arial Unicode MS" w:eastAsia="Arial Unicode MS" w:cs="Arial Unicode MS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rial Unicode MS" w:hAnsi="Arial Unicode MS" w:eastAsia="Arial Unicode MS" w:cs="Arial Unicode MS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rial Unicode MS" w:hAnsi="Arial Unicode MS" w:eastAsia="Arial Unicode MS" w:cs="Arial Unicode MS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Arial Unicode MS" w:hAnsi="Arial Unicode MS" w:eastAsia="Arial Unicode MS" w:cs="Arial Unicode MS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Arial Unicode MS" w:hAnsi="Arial Unicode MS" w:eastAsia="Arial Unicode MS" w:cs="Arial Unicode MS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Arial Unicode MS" w:hAnsi="Arial Unicode MS" w:eastAsia="Arial Unicode MS" w:cs="Arial Unicode MS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Arial Unicode MS" w:hAnsi="Arial Unicode MS" w:eastAsia="Arial Unicode MS" w:cs="Arial Unicode MS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Arial Unicode MS" w:hAnsi="Arial Unicode MS" w:eastAsia="Arial Unicode MS" w:cs="Arial Unicode MS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Arial Unicode MS" w:hAnsi="Arial Unicode MS" w:eastAsia="Arial Unicode MS" w:cs="Arial Unicode MS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Arial Unicode MS" w:hAnsi="Arial Unicode MS" w:eastAsia="Arial Unicode MS" w:cs="Arial Unicode MS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Arial Unicode MS" w:hAnsi="Arial Unicode MS" w:eastAsia="Arial Unicode MS" w:cs="Arial Unicode M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 Unicode MS" w:hAnsi="Arial Unicode MS" w:eastAsia="Arial Unicode MS" w:cs="Arial Unicode MS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Arial Unicode MS"/>
        <a:cs typeface="Arial Unicode MS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Arial Unicode MS"/>
        <a:cs typeface="Arial Unicode MS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2026-07-18T10:13:15Z</dcterms:created>
  <dcterms:modified xsi:type="dcterms:W3CDTF">2026-07-18T10:13:15Z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  <property fmtid="{D5CDD505-2E9C-101B-9397-08002B2CF9AE}" pid="3" name="scope">
    <vt:lpwstr>尽职调查专项、投融资交易、VIE/红筹</vt:lpwstr>
  </property>
  <property fmtid="{D5CDD505-2E9C-101B-9397-08002B2CF9AE}" pid="4" name="status">
    <vt:lpwstr>征求意见稿</vt:lpwstr>
  </property>
  <property fmtid="{D5CDD505-2E9C-101B-9397-08002B2CF9AE}" pid="5" name="version">
    <vt:lpwstr>v1.0</vt:lpwstr>
  </property>
</Properties>
</file>