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AI</w:t>
      </w:r>
    </w:p>
    <w:p>
      <w:r>
        <w:t>Cubecloud Local AI Hardware and Standard System Delivery Contract</w:t>
      </w:r>
    </w:p>
    <w:p>
      <w:r>
        <w:t>Contract No.: CUBECLOUD-HWOS-2026-P01</w:t>
      </w:r>
    </w:p>
    <w:p>
      <w:r>
        <w:t>5 June 2026</w:t>
      </w:r>
    </w:p>
    <w:p>
      <w:r>
        <w:t>AI ， AI 、Cubecloud AI Cubecloud Agent OS ；， Pacgate Phase 1 AI ， SaaS 、、、、；Phase 2 、， Phase 1 。，。</w:t>
      </w:r>
    </w:p>
    <w:p>
      <w:r>
        <w:t>[ Recitals ]</w:t>
      </w:r>
    </w:p>
    <w:p>
      <w:r>
        <w:t>Whereas Party A intends to build a local AI working infrastructure, and Party B has the delivery capability for local AI hardware, the Cubecloud Standard Local AI Layer and the Cubecloud Agent OS Surface; the parties acknowledge that the deliverables under this Contract constitute Phase 1 local pilot and open-source legal AI deployment support for Pacgate Law Firm, and DO NOT include any external-facing formal SaaS product development, customer portal, multi-tenant system, billing, operations monitoring, or commercialization platform. The module scope, team composition and budget envelope of any Phase 2 commercialization platform shall be proposed separately after Phase 1 acceptance and mutual alignment on pilot outcomes. Through friendly negotiation, the parties enter into this agreement in respect of the matters set out below.</w:t>
      </w:r>
    </w:p>
    <w:p>
      <w:r>
        <w:t>[ Parties ]</w:t>
      </w:r>
    </w:p>
    <w:p>
      <w:r>
        <w:t>Party A (Customer): (as per the executed signature page)</w:t>
      </w:r>
    </w:p>
    <w:p>
      <w:r>
        <w:t>Address: (as per the executed signature page)</w:t>
      </w:r>
    </w:p>
    <w:p>
      <w:r>
        <w:t>Contact: (as per the executed signature page)</w:t>
      </w:r>
    </w:p>
    <w:p>
      <w:r>
        <w:t>Contact details: (as per the executed signature page)</w:t>
      </w:r>
    </w:p>
    <w:p>
      <w:r>
        <w:t>Party B (Supplier): (as per the executed signature page)</w:t>
      </w:r>
    </w:p>
    <w:p>
      <w:r>
        <w:t>Address: (as per the executed signature page)</w:t>
      </w:r>
    </w:p>
    <w:p>
      <w:r>
        <w:t>Contact: (as per the executed signature page)</w:t>
      </w:r>
    </w:p>
    <w:p>
      <w:r>
        <w:t>Contact details: (as per the executed signature page)</w:t>
      </w:r>
    </w:p>
    <w:p>
      <w:r>
        <w:t>《》 AI 、、 AI Agent OS ， AI 、、、Agent 。</w:t>
      </w:r>
    </w:p>
    <w:p>
      <w:r>
        <w:t>[ Article 1 — Purpose ]</w:t>
      </w:r>
    </w:p>
    <w:p>
      <w:r>
        <w:t>Pursuant to this Contract and the Unified Selection Sheet (Zhifang Cloud Product and Service Unified Selection Sheet, ref. SKU-2026-P01-V1), Party B shall deliver to Party A the local AI hardware, ancillary equipment, the standard AI layer and the Agent OS surface, so as to enable Party A to operate local AI work, document processing, basic retrieval, Agent application hosting and a foundation for subsequent expansion.</w:t>
      </w:r>
    </w:p>
    <w:p>
      <w:r>
        <w:t>（1）AIPC AI ： AI 、、 Agent 。</w:t>
      </w:r>
    </w:p>
    <w:p>
      <w:r>
        <w:t>（2） GPU Dock ： AI Agent 。</w:t>
      </w:r>
    </w:p>
    <w:p>
      <w:r>
        <w:t>（3）Cubecloud AI ： AI 、、。</w:t>
      </w:r>
    </w:p>
    <w:p>
      <w:r>
        <w:t>（4）Cubecloud Agent OS ： AI 、、、 Agent 。</w:t>
      </w:r>
    </w:p>
    <w:p>
      <w:r>
        <w:t>[ Article 2 — Scope of Delivery ]</w:t>
      </w:r>
    </w:p>
    <w:p>
      <w:r>
        <w:t>The specific deliverables under this Contract shall be those items marked in the Unified Selection Sheet as applicable to this Contract and confirmed by both parties. The baseline scope includes:</w:t>
      </w:r>
    </w:p>
    <w:p>
      <w:r>
        <w:t>(1) AIPC-class local AI device: for local AI work, document processing, model runtime and Agent application hosting.</w:t>
      </w:r>
    </w:p>
    <w:p>
      <w:r>
        <w:t>(2) External GPU Dock or ancillary accelerator: to enhance local AI inference and multi-Agent workload capability.</w:t>
      </w:r>
    </w:p>
    <w:p>
      <w:r>
        <w:t>(3) Cubecloud Standard Local AI Layer: basic local AI runtime, basic document processing, basic retrieval and basic access configuration.</w:t>
      </w:r>
    </w:p>
    <w:p>
      <w:r>
        <w:t>(4) Cubecloud Agent OS Surface: a unified AI operating entry, basic task entry, document processing entry, retrieval entry and a foundation for subsequent Agent integration.</w:t>
      </w:r>
    </w:p>
    <w:p>
      <w:r>
        <w:t>(5) Baseline deployment and handover notes: device boot, system entry, basic usage guidance and cautionary notes.</w:t>
      </w:r>
    </w:p>
    <w:p>
      <w:r>
        <w:t>Specific models, configurations, quantities, prices, selection status and inclusion in the contract amount shall be governed by the Unified Selection Sheet.</w:t>
      </w:r>
    </w:p>
    <w:p>
      <w:r>
        <w:t>《》（ SKU-2026-P01-V1）；，。</w:t>
      </w:r>
    </w:p>
    <w:p>
      <w:r>
        <w:t>： ¥ 79,600 （：，）。：USD 11,056（ USD 1 = CNY 7.2 ，USD ；CNY 3.5% ）。</w:t>
      </w:r>
    </w:p>
    <w:p>
      <w:r>
        <w:t>[ Article 3 — Contract Sum and Selection Sheet ]</w:t>
      </w:r>
    </w:p>
    <w:p>
      <w:r>
        <w:t>The total contract amount shall be the final amount payable to Party B under this Contract as recorded in the Unified Selection Sheet (ref. SKU-2026-P01-V1). The amount is stated on a VAT-exclusive basis. If Party A requires Party B to issue a VAT invoice, the tax shall be borne separately by Party A; the specific tax rate, invoice type and tax-inclusive amount shall be as confirmed by both parties in writing or as invoiced by Party B in accordance with law.</w:t>
      </w:r>
    </w:p>
    <w:p>
      <w:r>
        <w:t>Total Contract Amount: CNY 79,600 (Say: Renminbi Seventy-Nine Thousand Six Hundred Yuan Only, VAT exclusive). Reference USD amount: USD 11,056 (calculated at USD 1 = CNY 7.2; USD pricing is tax-inclusive; CNY pricing excludes a 3.5% VAT reserve).</w:t>
      </w:r>
    </w:p>
    <w:p>
      <w:r>
        <w:t>In the event of any inconsistency between the body of this Contract and the Unified Selection Sheet, the Unified Selection Sheet shall prevail in respect of product names, models, quantities, unit prices, discounts and the amount payable; the body of this Contract shall prevail in respect of delivery boundaries, IP, confidentiality, default liability and dispute resolution.</w:t>
      </w:r>
    </w:p>
    <w:p>
      <w:r>
        <w:t>， 20 ：(a) 《》；(b) 、、；(c) 。</w:t>
      </w:r>
    </w:p>
    <w:p>
      <w:r>
        <w:t>，：；；Cubecloud AI ；Cubecloud Agent OS ；；。</w:t>
      </w:r>
    </w:p>
    <w:p>
      <w:r>
        <w:t>[ Article 4 — Delivery Schedule and Acceptance ]</w:t>
      </w:r>
    </w:p>
    <w:p>
      <w:r>
        <w:t>Party B shall complete delivery and baseline deployment within twenty (20) business days after receipt of the corresponding payment from Party A and upon the simultaneous satisfaction of the following conditions: (a) Party A has confirmed the items in the Unified Selection Sheet and notified Party B in writing; (b) the on-site power, network, temperature/humidity and rack conditions at Party A's premises meet the device vendor's requirements; (c) Party B's remote access channel has been opened.</w:t>
      </w:r>
    </w:p>
    <w:p>
      <w:r>
        <w:t>The delivery schedule shall be extended accordingly if the delay is caused by hardware supply, logistics, Party A's on-site environment, third-party vendor policies or force majeure.</w:t>
      </w:r>
    </w:p>
    <w:p>
      <w:r>
        <w:t>Acceptance conditions shall be deemed satisfied upon: delivery of all selected hardware; delivery of all selected ancillary equipment; baseline deployment of the Cubecloud Standard Local AI Layer; baseline enablement of the Cubecloud Agent OS Surface; successful system boot and baseline demo; and Party B's completion of baseline handover notes.</w:t>
      </w:r>
    </w:p>
    <w:p>
      <w:r>
        <w:t>Party A shall complete acceptance within seven (7) business days after receipt of Party B's written acceptance notice. If Party A raises no written objection within such period, acceptance shall be deemed to have passed.</w:t>
      </w:r>
    </w:p>
    <w:p>
      <w:r>
        <w:t>Any additional requirements beyond the scope of this Contract shall be agreed by the parties in respect of fees and schedule separately.</w:t>
      </w:r>
    </w:p>
    <w:p>
      <w:r>
        <w:t>、、 AI 、Agent OS 。</w:t>
      </w:r>
    </w:p>
    <w:p>
      <w:r>
        <w:t>Agent 、Claude for Legal 、Lavern 、RAG 、context graph 、connector 、MCP 、。</w:t>
      </w:r>
    </w:p>
    <w:p>
      <w:r>
        <w:t>、、，《 Agent 》。</w:t>
      </w:r>
    </w:p>
    <w:p>
      <w:r>
        <w:t>[ Article 5 — Delivery Boundaries ]</w:t>
      </w:r>
    </w:p>
    <w:p>
      <w:r>
        <w:t>This Contract applies solely to hardware, ancillary equipment, the standard local AI layer, the Agent OS surface, and baseline deployment and handover.</w:t>
      </w:r>
    </w:p>
    <w:p>
      <w:r>
        <w:t>This Contract does NOT cover legal Agent application customisation, Claude for Legal adaptation, Lavern adaptation, in-depth RAG construction, custom context graph, connector planning, MCP extensions, business workflow development, or long-term advisory services.</w:t>
      </w:r>
    </w:p>
    <w:p>
      <w:r>
        <w:t>The foregoing development, customisation, knowledge-engineering and advisory items shall be governed by the Cubecloud Legal Agent Application Customisation Service Contract or by a separate supplemental agreement signed by the parties.</w:t>
      </w:r>
    </w:p>
    <w:p>
      <w:r>
        <w:t>Anything not expressly allocated to this Contract and confirmed in the Unified Selection Sheet shall fall outside Party B's delivery scope.</w:t>
      </w:r>
    </w:p>
    <w:p>
      <w:r>
        <w:t>USD 6,634</w:t>
      </w:r>
    </w:p>
    <w:p>
      <w:r>
        <w:t>USD 3,317</w:t>
      </w:r>
    </w:p>
    <w:p>
      <w:r>
        <w:t>USD 1,106</w:t>
      </w:r>
    </w:p>
    <w:p>
      <w:r>
        <w:t>[ Article 6 — Payment ]</w:t>
      </w:r>
    </w:p>
    <w:p>
      <w:r>
        <w:t>Payment shall follow the Unified Selection Sheet or any payment arrangement confirmed in writing by the parties. If the Unified Selection Sheet is silent, the following schedule shall apply:</w:t>
      </w:r>
    </w:p>
    <w:p>
      <w:r>
        <w:t>(1) Within five (5) business days after execution of this Contract and Party A's written confirmation of the SKU selections, Party A shall pay 60% of the contract amount (i.e. CNY 47,760 / USD 6,634, the Deposit).</w:t>
      </w:r>
    </w:p>
    <w:p>
      <w:r>
        <w:t>(2) Within five (5) business days after the equipment has arrived on site and the Cubecloud Standard Local AI Layer and the Agent OS Surface have completed baseline deployment, Party A shall pay 30% of the contract amount (i.e. CNY 23,880 / USD 3,317, Milestone One).</w:t>
      </w:r>
    </w:p>
    <w:p>
      <w:r>
        <w:t>(3) Within five (5) business days after acceptance, Party A shall pay 10% of the contract amount (i.e. CNY 7,960 / USD 1,106, Final Handover).</w:t>
      </w:r>
    </w:p>
    <w:p>
      <w:r>
        <w:t>If Party A fails to pay on time, Party B may suspend procurement, deployment, delivery, license activation or further support; any resulting delay shall not constitute a breach by Party B.</w:t>
      </w:r>
    </w:p>
    <w:p>
      <w:r>
        <w:t>Party B's receiving bank details (to be set out on the executed signature page): account name, bank, account number, tax ID.</w:t>
      </w:r>
    </w:p>
    <w:p>
      <w:r>
        <w:t>[ Article 7 — Obligations of the Parties ]</w:t>
      </w:r>
    </w:p>
    <w:p>
      <w:r>
        <w:t>Party A's obligations:</w:t>
      </w:r>
    </w:p>
    <w:p>
      <w:r>
        <w:t>(1) Pay on time and provide delivery address, on-site environment, network conditions, account credentials and necessary personnel coordination.</w:t>
      </w:r>
    </w:p>
    <w:p>
      <w:r>
        <w:t>(2) Use the equipment and system in good faith, and shall not disassemble, copy, resell, rent out, distribute or otherwise provide to any third party without authorisation.</w:t>
      </w:r>
    </w:p>
    <w:p>
      <w:r>
        <w:t>Party B's obligations:</w:t>
      </w:r>
    </w:p>
    <w:p>
      <w:r>
        <w:t>(1) Complete delivery in accordance with the Contract and the Unified Selection Sheet, and provide necessary baseline handover notes.</w:t>
      </w:r>
    </w:p>
    <w:p>
      <w:r>
        <w:t>(2) May reasonably adjust the deployment approach based on the actual technical environment, provided the delivery objectives are not materially diminished.</w:t>
      </w:r>
    </w:p>
    <w:p>
      <w:r>
        <w:t>(3) Party A shall bear responsibility for issues caused by its own modification of the system, deletion of configuration, operational error, integration of unconfirmed third-party tools, or changes to the on-site environment.</w:t>
      </w:r>
    </w:p>
    <w:p>
      <w:r>
        <w:t>Cubecloud AI 、Cubecloud Agent OS 、、、、。</w:t>
      </w:r>
    </w:p>
    <w:p>
      <w:r>
        <w:t>[ Article 8 — Intellectual Property and Data ]</w:t>
      </w:r>
    </w:p>
    <w:p>
      <w:r>
        <w:t>The Cubecloud Standard Local AI Layer, the Cubecloud Agent OS Surface, the system architecture, generic tools, generic templates, deployment methodology and related technical outputs belong to Party B.</w:t>
      </w:r>
    </w:p>
    <w:p>
      <w:r>
        <w:t>After full payment, Party A obtains a non-exclusive, non-transferable, non-sublicensable right to use the relevant system on the contracted equipment and within Party A's internal business scope.</w:t>
      </w:r>
    </w:p>
    <w:p>
      <w:r>
        <w:t>Data, documents and business materials provided by Party A belong to Party A or the relevant rights-holder.</w:t>
      </w:r>
    </w:p>
    <w:p>
      <w:r>
        <w:t>Without Party B's prior written consent, Party A shall not reverse-engineer, copy and resell, or provide the Party B system as a standalone product to any third party.</w:t>
      </w:r>
    </w:p>
    <w:p>
      <w:r>
        <w:t>、、、Agent 、connector 、MCP ，。</w:t>
      </w:r>
    </w:p>
    <w:p>
      <w:r>
        <w:t>[ Article 9 — After-sales and Maintenance ]</w:t>
      </w:r>
    </w:p>
    <w:p>
      <w:r>
        <w:t>Party B shall provide ninety (90) days of basic remote support to handle usage issues within the delivery scope of this Contract.</w:t>
      </w:r>
    </w:p>
    <w:p>
      <w:r>
        <w:t>Hardware warranty shall follow the device vendor's policy or any other written agreement between the parties.</w:t>
      </w:r>
    </w:p>
    <w:p>
      <w:r>
        <w:t>On-site support, in-depth system tuning, business process configuration, Agent application integration, connector planning, MCP extension, and similar items fall outside the free maintenance scope of this Contract and shall be billed separately.</w:t>
      </w:r>
    </w:p>
    <w:p>
      <w:r>
        <w:t>[ Article 10 — Confidentiality, Default and Dispute Resolution ]</w:t>
      </w:r>
    </w:p>
    <w:p>
      <w:r>
        <w:t>Each party shall keep confidential the trade secrets, technical information, customer information, system configuration, pricing information and other non-public information obtained during the cooperation.</w:t>
      </w:r>
    </w:p>
    <w:p>
      <w:r>
        <w:t>If Party A is late in payment, it shall pay Party B liquidated damages at 0.05% per day on the overdue amount. If the delay exceeds fifteen (15) days, Party B may suspend delivery, procurement, license activation or further support, and may claim compensation for actual losses arising therefrom.</w:t>
      </w:r>
    </w:p>
    <w:p>
      <w:r>
        <w:t>If Party B fails to complete delivery on time without justified cause, it shall remedy within a reasonable period.</w:t>
      </w:r>
    </w:p>
    <w:p>
      <w:r>
        <w:t>Party B shall not be liable for delay caused by Party A's reasons, third-party reasons, hardware supply reasons or force majeure.</w:t>
      </w:r>
    </w:p>
    <w:p>
      <w:r>
        <w:t>Except for losses caused by wilful misconduct or gross negligence, Party B's aggregate liability under this Contract shall not exceed the amount actually paid by Party A under this Contract.</w:t>
      </w:r>
    </w:p>
    <w:p>
      <w:r>
        <w:t>Any dispute arising from this Contract shall be resolved by friendly negotiation; failing that, either party may bring suit before the people's court with jurisdiction at Party B's place of business.</w:t>
      </w:r>
    </w:p>
    <w:p>
      <w:r>
        <w:t>：《》（ CUBECLOUD-HWOS-2026-P01-A1）；</w:t>
      </w:r>
    </w:p>
    <w:p>
      <w:r>
        <w:t>：《》（ SKU-2026-P01-V1，《 Agent 》）。</w:t>
      </w:r>
    </w:p>
    <w:p>
      <w:r>
        <w:t>[ Article 11 — Variation, Rescission and Termination ]</w:t>
      </w:r>
    </w:p>
    <w:p>
      <w:r>
        <w:t>(1) This Contract may be varied or rescinded by mutual written agreement of the parties.</w:t>
      </w:r>
    </w:p>
    <w:p>
      <w:r>
        <w:t>(2) If Party A rescinds unilaterally after payment, the procurement, deployment, customisation, external sourcing and labour costs already incurred by Party B shall be borne by Party A and shall not be less than thirty percent (30%) of the total contract amount. Party B shall complete handover and refund within seven (7) business days after receipt of the foregoing payment and cost compensation.</w:t>
      </w:r>
    </w:p>
    <w:p>
      <w:r>
        <w:t>(3) If Party B fails to complete delivery within the delivery schedule without justified cause and fails to remedy within fifteen (15) days after written notice, Party A may rescind this Contract. Party B shall refund the portion of the amount paid by Party A corresponding to the unperformed part, and shall compensate Party A for direct losses arising therefrom.</w:t>
      </w:r>
    </w:p>
    <w:p>
      <w:r>
        <w:t>(4) If a party is unable to perform this Contract due to force majeure for more than thirty (30) consecutive days, the other party may rescind this Contract by written notice. The delivered portion shall be settled at the contract price; the reasonable procurement and customisation costs already incurred by Party B shall be shared by the parties in proportion to the actual amounts.</w:t>
      </w:r>
    </w:p>
    <w:p>
      <w:r>
        <w:t>(5) After this Contract is fully performed or terminated by mutual written confirmation, the following obligations shall survive: confidentiality, intellectual property ownership, data return and deletion, and dispute resolution.</w:t>
      </w:r>
    </w:p>
    <w:p>
      <w:r>
        <w:t>（），、、、、prompt、workflow、、context graph （''），。</w:t>
      </w:r>
    </w:p>
    <w:p>
      <w:r>
        <w:t>CSV</w:t>
      </w:r>
    </w:p>
    <w:p>
      <w:r>
        <w:t>[ Article 12 — Data Return and Deletion ]</w:t>
      </w:r>
    </w:p>
    <w:p>
      <w:r>
        <w:t>(1) All Party A business data, client documents, configuration, prompts, workflows, knowledge base indices, context graph and derivative files (collectively, the 'Party A Data') that Party B collects, stores or processes in providing the services under this Contract shall belong to Party A or the rights-holder designated by Party A.</w:t>
      </w:r>
    </w:p>
    <w:p>
      <w:r>
        <w:t>Within thirty (30) days after termination or rescission of this Contract, Party B shall return the Party A Data in its original format or a common, machine-readable electronic format; the return method shall include but not be limited to local export, encrypted package delivery or other means approved by Party A in writing.</w:t>
      </w:r>
    </w:p>
    <w:p>
      <w:r>
        <w:t>(3) After Party A confirms receipt and notifies Party B in writing, Party B shall delete all Party A Data within its control (including backups and mirrors) within seven (7) days, and shall provide Party A with a written deletion certificate upon completion.</w:t>
      </w:r>
    </w:p>
    <w:p>
      <w:r>
        <w:t>(4) In the event of breach of this Article, Party B shall compensate Party A in an amount reasonably corresponding to the highest confidentiality level of the client matter to which the unreturned or undeleted data relates. This shall not apply to the minimum necessary copies that Party B must retain pursuant to laws, regulations or regulatory requirements; such retained copies shall be used solely for compliance purposes and for no purpose outside this Contract.</w:t>
      </w:r>
    </w:p>
    <w:p>
      <w:r>
        <w:t>（）（ Cubecloud AI 、Cubecloud Agent OS ）、、；，。</w:t>
      </w:r>
    </w:p>
    <w:p>
      <w:r>
        <w:t>（）、、playbook、、workflow 。</w:t>
      </w:r>
    </w:p>
    <w:p>
      <w:r>
        <w:t>[ Article 13 — Reverse Engineering and Competitive Use Restrictions ]</w:t>
      </w:r>
    </w:p>
    <w:p>
      <w:r>
        <w:t>(1) Party A shall not reverse-engineer, decompile or disassemble Party B's system (including the Cubecloud Standard Local AI Layer, the Cubecloud Agent OS Surface and any updates), except where expressly permitted by law for interoperability purposes and only to the extent strictly necessary to achieve such interoperability.</w:t>
      </w:r>
    </w:p>
    <w:p>
      <w:r>
        <w:t>(2) Party A shall not develop any product or service that is in material competition with Party B's system based on Party B's system, nor shall Party A distribute Party B's system after removing Party B's copyright, trademark or identification marks.</w:t>
      </w:r>
    </w:p>
    <w:p>
      <w:r>
        <w:t>(3) Nothing in this Article shall restrict Party A's use or disposition of the data, documents, playbooks, templates, workflows and other business materials provided by Party A itself.</w:t>
      </w:r>
    </w:p>
    <w:p>
      <w:r>
        <w:t>[ Article 14 — Force Majeure ]</w:t>
      </w:r>
    </w:p>
    <w:p>
      <w:r>
        <w:t>(1) Force majeure refers to objective circumstances that cannot be foreseen, avoided or overcome, including but not limited to natural disasters, war, epidemics, government acts, backbone telecommunications network outages, and industry-level supply chain disruptions.</w:t>
      </w:r>
    </w:p>
    <w:p>
      <w:r>
        <w:t>(2) The party affected by force majeure shall notify the other party in writing within five (5) business days from the date of occurrence and provide supporting evidence.</w:t>
      </w:r>
    </w:p>
    <w:p>
      <w:r>
        <w:t>(3) Where this Contract cannot be performed in whole or in part due to force majeure, the affected party shall be excused from liability for the duration of the force majeure; the part of the Contract that remains feasible shall continue to be performed.</w:t>
      </w:r>
    </w:p>
    <w:p>
      <w:r>
        <w:t>(4) If force majeure continues for more than thirty (30) days, either party may rescind this Contract by written notice; the delivered portion shall be settled at the contract price.</w:t>
      </w:r>
    </w:p>
    <w:p>
      <w:r>
        <w:t>[ Article 15 — Governing Law and Dispute Resolution ]</w:t>
      </w:r>
    </w:p>
    <w:p>
      <w:r>
        <w:t>(1) The conclusion, validity, interpretation, performance and dispute resolution of this Contract shall be governed by the laws of the People's Republic of China (excluding, for the purposes of this Contract, the Hong Kong Special Administrative Region, the Macao Special Administrative Region and the Taiwan region).</w:t>
      </w:r>
    </w:p>
    <w:p>
      <w:r>
        <w:t>(2) Any dispute arising from this Contract shall first be resolved by friendly negotiation between the parties; failing that, either party may bring suit before the people's court with jurisdiction at the place where this Contract is signed.</w:t>
      </w:r>
    </w:p>
    <w:p>
      <w:r>
        <w:t>(3) During the proceedings, the parties shall continue to perform the provisions of this Contract that are not subject to the dispute.</w:t>
      </w:r>
    </w:p>
    <w:p>
      <w:r>
        <w:t>[ Article 16 — Electronic Signature, Notices and Order of Precedence ]</w:t>
      </w:r>
    </w:p>
    <w:p>
      <w:r>
        <w:t>(1) This Contract shall take effect upon signature by the legal representatives or authorised signatories of both parties and affixation of company seals. Where the parties agree in writing to use electronic signatures, such electronic signatures shall have the same legal effect as physical signatures and seals.</w:t>
      </w:r>
    </w:p>
    <w:p>
      <w:r>
        <w:t>(2) Any notice, request or confirmation under this Contract shall be made in writing and delivered via the email addresses confirmed in writing by the parties or by personal delivery; the delivery addresses shall be those set out on the signature page of this Contract.</w:t>
      </w:r>
    </w:p>
    <w:p>
      <w:r>
        <w:t>(3) The attachments to this Contract shall have the same legal effect as the body. The order of interpretation shall be: (1) the body of this Contract; (2) Attachment 1 — Delivery List; (3) Attachment 2 — Unified Selection Sheet; (4) Attachment 3 — Hardware Configuration Note (if any).</w:t>
      </w:r>
    </w:p>
    <w:p>
      <w:r>
        <w:t>[ Article 17 — Attachments and Effectiveness ]</w:t>
      </w:r>
    </w:p>
    <w:p>
      <w:r>
        <w:t>This Contract shall take effect from the date of signature or sealing by both parties.</w:t>
      </w:r>
    </w:p>
    <w:p>
      <w:r>
        <w:t>This Contract is made in four (4) counterparts, with each party holding two (2) counterparts of equal legal effect.</w:t>
      </w:r>
    </w:p>
    <w:p>
      <w:r>
        <w:t>The attachments to this Contract are:</w:t>
      </w:r>
    </w:p>
    <w:p>
      <w:r>
        <w:t>Attachment 1: Hardware and Standard System Delivery List (ref. CUBECLOUD-HWOS-2026-P01-A1);</w:t>
      </w:r>
    </w:p>
    <w:p>
      <w:r>
        <w:t>Attachment 2: Unified Selection Sheet (ref. SKU-2026-P01-V1, jointly attached to this Contract and the Cubecloud Legal Agent Application Customisation Service Contract).</w:t>
      </w:r>
    </w:p>
    <w:p>
      <w:r>
        <w:t>Matters not covered by this Contract shall be addressed by separate supplemental agreements signed by the parties.</w:t>
      </w:r>
    </w:p>
    <w:p>
      <w:r>
        <w:t>Signature Page</w:t>
      </w:r>
    </w:p>
    <w:p>
      <w:r>
        <w:t>Party A (Seal): ____________________</w:t>
      </w:r>
    </w:p>
    <w:p>
      <w:r>
        <w:t>Authorised Signatory: ____________________</w:t>
      </w:r>
    </w:p>
    <w:p>
      <w:r>
        <w:t>Title</w:t>
      </w:r>
    </w:p>
    <w:p>
      <w:r>
        <w:t>____ (YYYY) __ (MM) __ (DD)</w:t>
      </w:r>
    </w:p>
    <w:p>
      <w:r>
        <w:t>Place of signing: ____ Province ____ City ____ District</w:t>
      </w:r>
    </w:p>
    <w:p>
      <w:r>
        <w:t>Party B (Seal): ____________________</w:t>
      </w:r>
    </w:p>
    <w:p>
      <w:r>
        <w:t>Authorised Signatory: ____________________</w:t>
      </w:r>
    </w:p>
    <w:p>
      <w:r>
        <w:t>Title</w:t>
      </w:r>
    </w:p>
    <w:p>
      <w:r>
        <w:t>____ (YYYY) __ (MM) __ (DD)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